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proofErr w:type="spellStart"/>
      <w:r w:rsidRPr="00A161D9">
        <w:rPr>
          <w:rFonts w:eastAsia="Times New Roman"/>
          <w:sz w:val="28"/>
          <w:szCs w:val="28"/>
        </w:rPr>
        <w:t>Клетня</w:t>
      </w:r>
      <w:r>
        <w:rPr>
          <w:rFonts w:eastAsia="Times New Roman"/>
          <w:sz w:val="28"/>
          <w:szCs w:val="28"/>
        </w:rPr>
        <w:t>н</w:t>
      </w:r>
      <w:r w:rsidRPr="00A161D9">
        <w:rPr>
          <w:rFonts w:eastAsia="Times New Roman"/>
          <w:sz w:val="28"/>
          <w:szCs w:val="28"/>
        </w:rPr>
        <w:t>ского</w:t>
      </w:r>
      <w:proofErr w:type="spellEnd"/>
      <w:r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по состоянию на 1 </w:t>
      </w:r>
      <w:r w:rsidR="000D2C17">
        <w:rPr>
          <w:rFonts w:eastAsia="Times New Roman"/>
          <w:sz w:val="28"/>
          <w:szCs w:val="28"/>
        </w:rPr>
        <w:t>янва</w:t>
      </w:r>
      <w:r>
        <w:rPr>
          <w:rFonts w:eastAsia="Times New Roman"/>
          <w:sz w:val="28"/>
          <w:szCs w:val="28"/>
        </w:rPr>
        <w:t>ря 202</w:t>
      </w:r>
      <w:r w:rsidR="00F5255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E63FC9" w:rsidRPr="00A90955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22" w:type="dxa"/>
        <w:tblLook w:val="04A0" w:firstRow="1" w:lastRow="0" w:firstColumn="1" w:lastColumn="0" w:noHBand="0" w:noVBand="1"/>
      </w:tblPr>
      <w:tblGrid>
        <w:gridCol w:w="4500"/>
        <w:gridCol w:w="5049"/>
      </w:tblGrid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  <w:r w:rsidR="00554875">
              <w:rPr>
                <w:rFonts w:eastAsia="Times New Roman"/>
                <w:sz w:val="28"/>
                <w:szCs w:val="28"/>
              </w:rPr>
              <w:t xml:space="preserve">, а также муниципальные бюджетные учреждения, финансируемые из бюджета </w:t>
            </w:r>
            <w:proofErr w:type="spellStart"/>
            <w:r w:rsidR="00554875"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 w:rsidR="00554875"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  <w:r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Акуличского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Лутенского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Мирнинского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Мужиновского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Надвинского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-</w:t>
      </w: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</w:t>
      </w:r>
    </w:p>
    <w:p w:rsidR="00E63FC9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</w:t>
      </w:r>
      <w:r w:rsidR="000D2C17">
        <w:rPr>
          <w:rFonts w:eastAsia="Times New Roman"/>
          <w:sz w:val="28"/>
          <w:szCs w:val="28"/>
        </w:rPr>
        <w:t xml:space="preserve">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 w:rsidR="00E63FC9">
        <w:rPr>
          <w:rFonts w:eastAsia="Times New Roman"/>
          <w:sz w:val="28"/>
          <w:szCs w:val="28"/>
        </w:rPr>
        <w:t xml:space="preserve">                                  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.М</w:t>
      </w:r>
      <w:proofErr w:type="gramEnd"/>
      <w:r>
        <w:rPr>
          <w:rFonts w:eastAsia="Times New Roman"/>
          <w:sz w:val="26"/>
          <w:szCs w:val="26"/>
        </w:rPr>
        <w:t>еркулова</w:t>
      </w:r>
      <w:proofErr w:type="spellEnd"/>
      <w:r>
        <w:rPr>
          <w:rFonts w:eastAsia="Times New Roman"/>
          <w:sz w:val="26"/>
          <w:szCs w:val="26"/>
        </w:rPr>
        <w:t xml:space="preserve"> Н.В.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15 41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222EF" w:rsidRDefault="004222EF"/>
    <w:sectPr w:rsidR="004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1"/>
    <w:rsid w:val="000D2C17"/>
    <w:rsid w:val="002E1AF1"/>
    <w:rsid w:val="002F1046"/>
    <w:rsid w:val="004222EF"/>
    <w:rsid w:val="00554875"/>
    <w:rsid w:val="00B46399"/>
    <w:rsid w:val="00E63FC9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</cp:revision>
  <cp:lastPrinted>2024-02-16T09:20:00Z</cp:lastPrinted>
  <dcterms:created xsi:type="dcterms:W3CDTF">2024-02-16T09:22:00Z</dcterms:created>
  <dcterms:modified xsi:type="dcterms:W3CDTF">2024-02-16T09:22:00Z</dcterms:modified>
</cp:coreProperties>
</file>