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3" w:rsidRPr="000537E3" w:rsidRDefault="008B40B3" w:rsidP="008B40B3">
      <w:pPr>
        <w:pStyle w:val="af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>РОССИЙСКАЯ  ФЕДЕРАЦИЯ</w:t>
      </w:r>
    </w:p>
    <w:p w:rsidR="008B40B3" w:rsidRPr="000537E3" w:rsidRDefault="008B40B3" w:rsidP="008B40B3">
      <w:pPr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7E3">
        <w:rPr>
          <w:rFonts w:ascii="Times New Roman" w:hAnsi="Times New Roman"/>
          <w:b/>
          <w:bCs/>
          <w:sz w:val="26"/>
          <w:szCs w:val="26"/>
        </w:rPr>
        <w:t>АДМИНИСТРАЦИЯ КЛЕТНЯНСКОГО РАЙОНА</w:t>
      </w:r>
    </w:p>
    <w:p w:rsidR="008B40B3" w:rsidRPr="000537E3" w:rsidRDefault="008B40B3" w:rsidP="008B40B3">
      <w:pPr>
        <w:pStyle w:val="1"/>
        <w:jc w:val="center"/>
        <w:rPr>
          <w:caps/>
          <w:spacing w:val="100"/>
          <w:sz w:val="26"/>
          <w:szCs w:val="26"/>
        </w:rPr>
      </w:pPr>
      <w:r w:rsidRPr="000537E3">
        <w:rPr>
          <w:caps/>
          <w:spacing w:val="100"/>
          <w:sz w:val="26"/>
          <w:szCs w:val="26"/>
        </w:rPr>
        <w:t>ПОСТАНОВЛЕНИЕ</w:t>
      </w:r>
    </w:p>
    <w:p w:rsidR="008B40B3" w:rsidRPr="000537E3" w:rsidRDefault="008B40B3" w:rsidP="008B40B3">
      <w:pPr>
        <w:rPr>
          <w:rFonts w:ascii="Times New Roman" w:hAnsi="Times New Roman"/>
          <w:sz w:val="26"/>
          <w:szCs w:val="26"/>
        </w:rPr>
      </w:pPr>
    </w:p>
    <w:p w:rsidR="008B40B3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>
        <w:rPr>
          <w:rFonts w:ascii="Times New Roman" w:hAnsi="Times New Roman"/>
          <w:snapToGrid w:val="0"/>
          <w:sz w:val="28"/>
          <w:szCs w:val="28"/>
        </w:rPr>
        <w:t>897</w:t>
      </w:r>
    </w:p>
    <w:p w:rsidR="008B40B3" w:rsidRPr="00AA623B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8B40B3" w:rsidRPr="00AA623B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годы»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ципального района", 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</w:t>
      </w:r>
      <w:r w:rsidRPr="00AA623B">
        <w:rPr>
          <w:rFonts w:ascii="Times New Roman" w:hAnsi="Times New Roman"/>
          <w:sz w:val="28"/>
          <w:szCs w:val="28"/>
        </w:rPr>
        <w:t>у</w:t>
      </w:r>
      <w:r w:rsidRPr="00AA623B">
        <w:rPr>
          <w:rFonts w:ascii="Times New Roman" w:hAnsi="Times New Roman"/>
          <w:sz w:val="28"/>
          <w:szCs w:val="28"/>
        </w:rPr>
        <w:t>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годы".</w:t>
      </w:r>
    </w:p>
    <w:p w:rsidR="008B40B3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</w:t>
      </w:r>
      <w:r w:rsidRPr="00AA623B">
        <w:rPr>
          <w:rFonts w:ascii="Times New Roman" w:hAnsi="Times New Roman"/>
          <w:sz w:val="28"/>
          <w:szCs w:val="28"/>
        </w:rPr>
        <w:t>м</w:t>
      </w:r>
      <w:r w:rsidRPr="00AA62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8B40B3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.</w:t>
      </w:r>
    </w:p>
    <w:p w:rsidR="008B40B3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8B40B3" w:rsidRPr="00A9116E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8B40B3" w:rsidRPr="00AA623B" w:rsidRDefault="008B40B3" w:rsidP="008B40B3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 xml:space="preserve">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А.А.Лось</w:t>
      </w:r>
      <w:proofErr w:type="spellEnd"/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5FF5" w:rsidRDefault="00DB5FF5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Default="00D92F46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изменений, внесенных постановлениями администрации </w:t>
      </w:r>
      <w:proofErr w:type="spellStart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Клетня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3E06BE">
        <w:rPr>
          <w:rFonts w:ascii="Times New Roman" w:hAnsi="Times New Roman"/>
          <w:sz w:val="26"/>
          <w:szCs w:val="26"/>
        </w:rPr>
        <w:t>17.04.15г.№332/1, от 19.06.15г.№522, от 23.10.15г. №885, от 31.12.15г.№1187, от 31.12.15г.№1201, от 31.03.16г.№247, от 30.08.16г.№</w:t>
      </w:r>
      <w:r w:rsidR="003E06BE" w:rsidRPr="00DC1523">
        <w:rPr>
          <w:rFonts w:ascii="Times New Roman" w:hAnsi="Times New Roman"/>
          <w:sz w:val="26"/>
          <w:szCs w:val="26"/>
        </w:rPr>
        <w:t>672, от 23.12.16г.№977, от 27.12.16г.№987, от 21.02.17г.№112, от 22.05.17г.№394, от 01.11.17г.№</w:t>
      </w:r>
      <w:r w:rsidR="00DC1523" w:rsidRPr="00DC1523">
        <w:rPr>
          <w:rFonts w:ascii="Times New Roman" w:hAnsi="Times New Roman"/>
          <w:sz w:val="26"/>
          <w:szCs w:val="26"/>
        </w:rPr>
        <w:t>970/1</w:t>
      </w:r>
      <w:r w:rsidR="00D6736F">
        <w:rPr>
          <w:rFonts w:ascii="Times New Roman" w:hAnsi="Times New Roman"/>
          <w:sz w:val="26"/>
          <w:szCs w:val="26"/>
        </w:rPr>
        <w:t>, от 07.12.17</w:t>
      </w:r>
      <w:proofErr w:type="gramEnd"/>
      <w:r w:rsidR="00D6736F">
        <w:rPr>
          <w:rFonts w:ascii="Times New Roman" w:hAnsi="Times New Roman"/>
          <w:sz w:val="26"/>
          <w:szCs w:val="26"/>
        </w:rPr>
        <w:t>.№</w:t>
      </w:r>
      <w:proofErr w:type="gramStart"/>
      <w:r w:rsidR="00D6736F">
        <w:rPr>
          <w:rFonts w:ascii="Times New Roman" w:hAnsi="Times New Roman"/>
          <w:sz w:val="26"/>
          <w:szCs w:val="26"/>
        </w:rPr>
        <w:t>1118</w:t>
      </w:r>
      <w:r w:rsidR="00B37330">
        <w:rPr>
          <w:rFonts w:ascii="Times New Roman" w:hAnsi="Times New Roman"/>
          <w:sz w:val="26"/>
          <w:szCs w:val="26"/>
        </w:rPr>
        <w:t xml:space="preserve">, от </w:t>
      </w:r>
      <w:r w:rsidR="007C5F3C">
        <w:rPr>
          <w:rFonts w:ascii="Times New Roman" w:hAnsi="Times New Roman"/>
          <w:sz w:val="26"/>
          <w:szCs w:val="26"/>
        </w:rPr>
        <w:t>26</w:t>
      </w:r>
      <w:r w:rsidR="00B37330">
        <w:rPr>
          <w:rFonts w:ascii="Times New Roman" w:hAnsi="Times New Roman"/>
          <w:sz w:val="26"/>
          <w:szCs w:val="26"/>
        </w:rPr>
        <w:t>.12.17.№</w:t>
      </w:r>
      <w:r w:rsidR="007C5F3C">
        <w:rPr>
          <w:rFonts w:ascii="Times New Roman" w:hAnsi="Times New Roman"/>
          <w:sz w:val="26"/>
          <w:szCs w:val="26"/>
        </w:rPr>
        <w:t>1169</w:t>
      </w:r>
      <w:r w:rsidR="001335E0">
        <w:rPr>
          <w:rFonts w:ascii="Times New Roman" w:hAnsi="Times New Roman"/>
          <w:sz w:val="26"/>
          <w:szCs w:val="26"/>
        </w:rPr>
        <w:t>, от 22.02.18.№131</w:t>
      </w:r>
      <w:r w:rsidR="00DB5FF5">
        <w:rPr>
          <w:rFonts w:ascii="Times New Roman" w:hAnsi="Times New Roman"/>
          <w:sz w:val="26"/>
          <w:szCs w:val="26"/>
        </w:rPr>
        <w:t>, от 21.12.18.№1117</w:t>
      </w:r>
      <w:r w:rsidR="003E06BE" w:rsidRPr="00DC1523">
        <w:rPr>
          <w:rFonts w:ascii="Times New Roman" w:hAnsi="Times New Roman"/>
          <w:sz w:val="26"/>
          <w:szCs w:val="26"/>
        </w:rPr>
        <w:t>)</w:t>
      </w:r>
      <w:proofErr w:type="gramEnd"/>
    </w:p>
    <w:p w:rsidR="003E06BE" w:rsidRPr="00770978" w:rsidRDefault="003E06BE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"/>
      <w:bookmarkEnd w:id="1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354"/>
            <w:bookmarkEnd w:id="2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</w:t>
            </w:r>
            <w:r w:rsidR="00E8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ветственного управления муниципальными 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Pr="001335E0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– 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31 042 250</w:t>
            </w:r>
            <w:r w:rsidR="001425C2" w:rsidRPr="001335E0">
              <w:rPr>
                <w:rFonts w:ascii="Times New Roman" w:eastAsiaTheme="minorHAnsi" w:hAnsi="Times New Roman"/>
                <w:sz w:val="28"/>
                <w:szCs w:val="28"/>
              </w:rPr>
              <w:t>,82 рублей,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ного бюджета 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301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839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6A309C" w:rsidRPr="001335E0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0D32B5" w:rsidRPr="001335E0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B37330" w:rsidRPr="001335E0">
              <w:rPr>
                <w:rFonts w:ascii="Times New Roman" w:eastAsiaTheme="minorHAnsi" w:hAnsi="Times New Roman"/>
                <w:sz w:val="28"/>
                <w:szCs w:val="28"/>
              </w:rPr>
              <w:t> 581 258,61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 в том чи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ле за счет средств, поступающих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из облас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DB5FF5">
              <w:rPr>
                <w:rFonts w:ascii="Times New Roman" w:eastAsiaTheme="minorHAnsi" w:hAnsi="Times New Roman"/>
                <w:color w:val="0000FF"/>
                <w:sz w:val="28"/>
                <w:szCs w:val="28"/>
              </w:rPr>
              <w:t>7984669</w:t>
            </w:r>
            <w:r w:rsidRPr="001335E0">
              <w:rPr>
                <w:rFonts w:ascii="Times New Roman" w:eastAsiaTheme="minorHAnsi" w:hAnsi="Times New Roman"/>
                <w:color w:val="0000FF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числе за счет средств, поступающих из областного бю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7 870 100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Pr="0077097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8 070 100,00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732 000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мы, а также конечные результаты реализ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11"/>
      <w:bookmarkEnd w:id="3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01AA7">
        <w:rPr>
          <w:rFonts w:ascii="Times New Roman" w:hAnsi="Times New Roman"/>
          <w:sz w:val="28"/>
          <w:szCs w:val="28"/>
        </w:rPr>
        <w:t xml:space="preserve"> проведены</w:t>
      </w:r>
      <w:r w:rsidRPr="00770978">
        <w:rPr>
          <w:rFonts w:ascii="Times New Roman" w:hAnsi="Times New Roman"/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роводилась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2. Осуществлен переход на формирование "программного" бюджета по принципу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 Взамен долгосрочных и ведомственных целевых программ были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ботаны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 xml:space="preserve">низации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стратегических документов, а также процедуры обеспечения их координации, соподчиненности и взаимной непротиворечивости. Решение указанной задачи предполагается осуществить в рамках реализации федерального закона "О го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ударственном стратегическом планировании".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ные учреждения осуществляют финансово-экономическое планирование, не уделяя должного внимания обоснованности и достижимости планируемых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</w:t>
      </w:r>
      <w:r w:rsidRPr="007709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нансово-экономическое планирование результатов, осуществляемое в насто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недостаточной степенью обоснованности и достоверности, большая часть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 по мере реализации подвергается неоднократным корректировкам в ч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сти распределения ассигнований между отдельными мероприятиями и целевых значений показателей (индикаторов).</w:t>
      </w:r>
    </w:p>
    <w:p w:rsidR="0094558B" w:rsidRPr="00770978" w:rsidRDefault="0094558B" w:rsidP="003E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3) Сохранение условий для неоправданного увеличения бюджетных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при низкой мотивации органов местного самоуправления к формированию приоритетов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щения количества юридических лиц,  доля неэффективных расходов консолидир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ванного бюджета района сохраняется на высоком уровне. Бюджетной сфере района требуются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бюджетной сети и штатов работников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</w:t>
      </w:r>
      <w:r w:rsidRPr="00F44FA0">
        <w:rPr>
          <w:rFonts w:ascii="Times New Roman" w:hAnsi="Times New Roman"/>
          <w:color w:val="000000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z w:val="28"/>
          <w:szCs w:val="26"/>
        </w:rPr>
        <w:t>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 требуется объективная оценка финансовых возможностей  бюджета и концентрация финансовых ресурсов на приоритетных направлениях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58B" w:rsidRPr="00770978">
        <w:rPr>
          <w:rFonts w:ascii="Times New Roman" w:hAnsi="Times New Roman"/>
          <w:sz w:val="28"/>
          <w:szCs w:val="28"/>
        </w:rPr>
        <w:t xml:space="preserve">) Недостаточно увязанным с бюджетным процессом остается применение инструментов бюджетирования, </w:t>
      </w:r>
      <w:proofErr w:type="gramStart"/>
      <w:r w:rsidR="0094558B"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="0094558B"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работана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общественными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менение отдельных инструментов БОР остается в значительной степени 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мальным и не увязанным с методологией и процессом планирования бюдже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ных ассигнований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ментом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неджмента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ков муниципальных учреждений, отсутствие "эффективных" контрактов не ориентирует их на повышение производительности труда, улучшение колич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ственных показателей и качества исполнения обязанностей и оказания услуг.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558B" w:rsidRPr="00770978">
        <w:rPr>
          <w:rFonts w:ascii="Times New Roman" w:hAnsi="Times New Roman"/>
          <w:sz w:val="28"/>
          <w:szCs w:val="28"/>
        </w:rPr>
        <w:t>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муниципальных заданий, процесс их формирования является в некоторой ст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пени формальным. Недостаточно проработанными остаются следующие осно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ные вопросы: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ний (в первую очередь - за соблюдением показателей качества оказания мун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ципальных услуг).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558B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</w:t>
      </w:r>
      <w:r w:rsidR="0094558B" w:rsidRPr="00770978">
        <w:rPr>
          <w:rFonts w:ascii="Times New Roman" w:hAnsi="Times New Roman"/>
          <w:sz w:val="28"/>
          <w:szCs w:val="28"/>
        </w:rPr>
        <w:t>у</w:t>
      </w:r>
      <w:r w:rsidR="0094558B" w:rsidRPr="00770978">
        <w:rPr>
          <w:rFonts w:ascii="Times New Roman" w:hAnsi="Times New Roman"/>
          <w:sz w:val="28"/>
          <w:szCs w:val="28"/>
        </w:rPr>
        <w:t>емых в сфере управления общественными финансами.</w:t>
      </w:r>
    </w:p>
    <w:p w:rsidR="00C01AA7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разработанных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специализированного программного обеспечения практически на всех этапах бюджетного процесса, различные информационные базы остаются слабо ув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занными между собой, возможности синхронизации сведений между базами данных ограничены.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ция программного обеспечения автоматизации ведения бухгалтерского учета, используемого муниципальными учреждениями.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58B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ственного </w:t>
      </w:r>
      <w:proofErr w:type="gramStart"/>
      <w:r w:rsidR="0094558B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558B" w:rsidRPr="00770978">
        <w:rPr>
          <w:rFonts w:ascii="Times New Roman" w:hAnsi="Times New Roman"/>
          <w:sz w:val="28"/>
          <w:szCs w:val="28"/>
        </w:rPr>
        <w:t xml:space="preserve"> </w:t>
      </w:r>
      <w:r w:rsidR="0094558B">
        <w:rPr>
          <w:rFonts w:ascii="Times New Roman" w:hAnsi="Times New Roman"/>
          <w:sz w:val="28"/>
          <w:szCs w:val="28"/>
        </w:rPr>
        <w:t>сферой</w:t>
      </w:r>
      <w:r w:rsidR="0094558B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жетного </w:t>
      </w:r>
      <w:hyperlink r:id="rId9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hyperlink r:id="rId11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Pr="00D423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Pr="00D42311">
        <w:rPr>
          <w:rFonts w:ascii="Times New Roman" w:hAnsi="Times New Roman"/>
          <w:sz w:val="28"/>
          <w:szCs w:val="28"/>
        </w:rPr>
        <w:t>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моуправления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предоставляются межбюджетные трансферты в формах, установленных Бюджетным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 xml:space="preserve">местным бюджетам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 распределяются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в соответствии с методиками, утвержденными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>-З</w:t>
      </w:r>
      <w:r w:rsidRPr="00D42311">
        <w:rPr>
          <w:rFonts w:ascii="Times New Roman" w:hAnsi="Times New Roman"/>
          <w:sz w:val="28"/>
          <w:szCs w:val="28"/>
        </w:rPr>
        <w:t xml:space="preserve">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области», без ограничения срока их действия. Утвержде</w:t>
      </w:r>
      <w:r w:rsidRPr="00D42311">
        <w:rPr>
          <w:rFonts w:ascii="Times New Roman" w:hAnsi="Times New Roman"/>
          <w:sz w:val="28"/>
          <w:szCs w:val="28"/>
        </w:rPr>
        <w:t>н</w:t>
      </w:r>
      <w:r w:rsidRPr="00D42311">
        <w:rPr>
          <w:rFonts w:ascii="Times New Roman" w:hAnsi="Times New Roman"/>
          <w:sz w:val="28"/>
          <w:szCs w:val="28"/>
        </w:rPr>
        <w:t xml:space="preserve">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 xml:space="preserve">субвенций 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целью более эффективной реализации органами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жета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 xml:space="preserve">-З </w:t>
      </w:r>
      <w:r w:rsidRPr="00D42311">
        <w:rPr>
          <w:rFonts w:ascii="Times New Roman" w:hAnsi="Times New Roman"/>
          <w:sz w:val="28"/>
          <w:szCs w:val="28"/>
        </w:rPr>
        <w:t>«О межбю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жетных отношениях </w:t>
      </w:r>
      <w:r w:rsidR="005E3330">
        <w:rPr>
          <w:rFonts w:ascii="Times New Roman" w:hAnsi="Times New Roman"/>
          <w:sz w:val="28"/>
          <w:szCs w:val="28"/>
        </w:rPr>
        <w:t xml:space="preserve">в Брянской области» установлена </w:t>
      </w:r>
      <w:r w:rsidRPr="008F09C0">
        <w:rPr>
          <w:rFonts w:ascii="Times New Roman" w:hAnsi="Times New Roman"/>
          <w:sz w:val="28"/>
          <w:szCs w:val="28"/>
        </w:rPr>
        <w:t>методика расчета орг</w:t>
      </w:r>
      <w:r w:rsidRPr="008F09C0">
        <w:rPr>
          <w:rFonts w:ascii="Times New Roman" w:hAnsi="Times New Roman"/>
          <w:sz w:val="28"/>
          <w:szCs w:val="28"/>
        </w:rPr>
        <w:t>а</w:t>
      </w:r>
      <w:r w:rsidRPr="008F09C0">
        <w:rPr>
          <w:rFonts w:ascii="Times New Roman" w:hAnsi="Times New Roman"/>
          <w:sz w:val="28"/>
          <w:szCs w:val="28"/>
        </w:rPr>
        <w:t>нами местного самоуправления муниципальных районов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 xml:space="preserve">поселений, </w:t>
      </w:r>
      <w:r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емых за счет субвенций из областного бюджета,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>ления дополнительных нормативов отчислений от налога на доходы физич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поселениям, за счет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венций</w:t>
      </w:r>
      <w:r w:rsidR="00623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</w:t>
      </w:r>
      <w:r w:rsidR="005E3330">
        <w:rPr>
          <w:rFonts w:ascii="Times New Roman" w:hAnsi="Times New Roman"/>
          <w:sz w:val="28"/>
          <w:szCs w:val="28"/>
        </w:rPr>
        <w:t>ая</w:t>
      </w:r>
      <w:r w:rsidRPr="00D42311">
        <w:rPr>
          <w:rFonts w:ascii="Times New Roman" w:hAnsi="Times New Roman"/>
          <w:sz w:val="28"/>
          <w:szCs w:val="28"/>
        </w:rPr>
        <w:t xml:space="preserve"> методик</w:t>
      </w:r>
      <w:r w:rsidR="005E3330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 предусматривают распределение дотаций мес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ным бюджетам посредством формул и доступных исходных данных по расчету индексов налогового потенциала и бюджетных расходов муниципального обр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зования. Непосредственное распределение дотаций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EE2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80"/>
      <w:bookmarkEnd w:id="4"/>
      <w:r w:rsidRPr="00770978">
        <w:rPr>
          <w:rFonts w:ascii="Times New Roman" w:hAnsi="Times New Roman"/>
          <w:sz w:val="28"/>
          <w:szCs w:val="28"/>
        </w:rPr>
        <w:t xml:space="preserve">2. </w:t>
      </w:r>
      <w:r w:rsidR="00EE2B56">
        <w:rPr>
          <w:rFonts w:ascii="Times New Roman" w:hAnsi="Times New Roman"/>
          <w:sz w:val="28"/>
          <w:szCs w:val="28"/>
        </w:rPr>
        <w:t>Ц</w:t>
      </w:r>
      <w:r w:rsidRPr="00770978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вания и целеполагания бюджетных расходов с мониторингом достижения зая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, повышение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межбюджетных отношений с органами местного самоуправления поселений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</w:t>
      </w:r>
      <w:r w:rsidRPr="00D42311">
        <w:rPr>
          <w:rFonts w:ascii="Times New Roman" w:hAnsi="Times New Roman"/>
          <w:sz w:val="28"/>
          <w:szCs w:val="28"/>
        </w:rPr>
        <w:t>у</w:t>
      </w:r>
      <w:r w:rsidRPr="00D42311">
        <w:rPr>
          <w:rFonts w:ascii="Times New Roman" w:hAnsi="Times New Roman"/>
          <w:sz w:val="28"/>
          <w:szCs w:val="28"/>
        </w:rPr>
        <w:t>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1) определение исходных данных для формирования межбюджетных о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ношений с муниципальными образованиями и проведение согласования с орг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распределения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 на поддержку мер по обеспечению сбалансированности бюджетов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дотаци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предоставляем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года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 xml:space="preserve">родского и сельских поселений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муниципального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деляются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94558B" w:rsidRPr="004403E1" w:rsidRDefault="00EE2B56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</w:t>
      </w:r>
      <w:r w:rsidR="00F06934">
        <w:rPr>
          <w:rFonts w:ascii="Times New Roman" w:hAnsi="Times New Roman"/>
          <w:sz w:val="28"/>
          <w:szCs w:val="28"/>
        </w:rPr>
        <w:t>налогов</w:t>
      </w:r>
      <w:r w:rsidR="00F06934"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="00F06934"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06934"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0"/>
      <w:bookmarkEnd w:id="5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20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4"/>
      <w:bookmarkEnd w:id="6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</w:t>
      </w:r>
      <w:r w:rsidR="00B37330">
        <w:rPr>
          <w:rFonts w:ascii="Times New Roman" w:hAnsi="Times New Roman"/>
          <w:sz w:val="28"/>
          <w:szCs w:val="28"/>
        </w:rPr>
        <w:t> 581 258,61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DB5FF5">
        <w:rPr>
          <w:rFonts w:ascii="Times New Roman" w:hAnsi="Times New Roman"/>
          <w:color w:val="0000FF"/>
          <w:sz w:val="28"/>
          <w:szCs w:val="28"/>
        </w:rPr>
        <w:t>7 984 669</w:t>
      </w:r>
      <w:r w:rsidRPr="001335E0">
        <w:rPr>
          <w:rFonts w:ascii="Times New Roman" w:hAnsi="Times New Roman"/>
          <w:color w:val="0000FF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7 870 100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8 070 100,00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25"/>
      <w:bookmarkEnd w:id="7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12A8C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8" w:name="Par231"/>
      <w:bookmarkEnd w:id="8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Par233"/>
            <w:bookmarkEnd w:id="9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 w:rsidR="001C303F">
              <w:rPr>
                <w:rFonts w:ascii="Times New Roman" w:hAnsi="Times New Roman"/>
                <w:sz w:val="28"/>
                <w:szCs w:val="28"/>
              </w:rPr>
              <w:t>Кле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т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 w:rsidR="001C303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и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сводного годового 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E279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94558B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  <w:bookmarkStart w:id="10" w:name="_GoBack"/>
      <w:bookmarkEnd w:id="10"/>
    </w:p>
    <w:sectPr w:rsidR="000F2A8D" w:rsidRPr="0094558B" w:rsidSect="0017589F">
      <w:headerReference w:type="default" r:id="rId22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8C" w:rsidRDefault="00912A8C">
      <w:pPr>
        <w:spacing w:after="0" w:line="240" w:lineRule="auto"/>
      </w:pPr>
      <w:r>
        <w:separator/>
      </w:r>
    </w:p>
  </w:endnote>
  <w:endnote w:type="continuationSeparator" w:id="0">
    <w:p w:rsidR="00912A8C" w:rsidRDefault="009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8C" w:rsidRDefault="00912A8C">
      <w:pPr>
        <w:spacing w:after="0" w:line="240" w:lineRule="auto"/>
      </w:pPr>
      <w:r>
        <w:separator/>
      </w:r>
    </w:p>
  </w:footnote>
  <w:footnote w:type="continuationSeparator" w:id="0">
    <w:p w:rsidR="00912A8C" w:rsidRDefault="009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0" w:rsidRDefault="00B373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21FCF"/>
    <w:rsid w:val="000310EA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101C"/>
    <w:rsid w:val="000D32B5"/>
    <w:rsid w:val="000D4A38"/>
    <w:rsid w:val="000E35F1"/>
    <w:rsid w:val="000E5B32"/>
    <w:rsid w:val="000E5B9B"/>
    <w:rsid w:val="000F2A8D"/>
    <w:rsid w:val="00103007"/>
    <w:rsid w:val="00107109"/>
    <w:rsid w:val="00111272"/>
    <w:rsid w:val="00115435"/>
    <w:rsid w:val="00117E1B"/>
    <w:rsid w:val="001335E0"/>
    <w:rsid w:val="001425C2"/>
    <w:rsid w:val="00146705"/>
    <w:rsid w:val="00161145"/>
    <w:rsid w:val="00173CA6"/>
    <w:rsid w:val="00174238"/>
    <w:rsid w:val="0017589F"/>
    <w:rsid w:val="00177549"/>
    <w:rsid w:val="001937FD"/>
    <w:rsid w:val="001C303F"/>
    <w:rsid w:val="001C3545"/>
    <w:rsid w:val="001D0D15"/>
    <w:rsid w:val="001E395A"/>
    <w:rsid w:val="001F03FD"/>
    <w:rsid w:val="001F4FE0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606DC"/>
    <w:rsid w:val="006735E4"/>
    <w:rsid w:val="006A309C"/>
    <w:rsid w:val="006B1AA5"/>
    <w:rsid w:val="006C0456"/>
    <w:rsid w:val="006C7489"/>
    <w:rsid w:val="006D0100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2590"/>
    <w:rsid w:val="00912A8C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73D29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F2DE7"/>
    <w:rsid w:val="00D10AF0"/>
    <w:rsid w:val="00D11C9B"/>
    <w:rsid w:val="00D360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B5FF5"/>
    <w:rsid w:val="00DC1523"/>
    <w:rsid w:val="00DE4A38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0410EA8631497E119652FE9C190454E09D21D1A9E4AAL7CAQ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A0EEFD3DA2B5B9F66CLBCDQ" TargetMode="External"/><Relationship Id="rId17" Type="http://schemas.openxmlformats.org/officeDocument/2006/relationships/hyperlink" Target="consultantplus://offline/ref=E0EE40E8CC65DD87F24C0410EA8631497E119652FE9C190454E09D21D1A9E4AAL7C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1A1DFCEA6D447E1CC15BFB9D145600BFC67C86A0EEFD3DA2B5BAF46DLBC8Q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0410EA8631497E119652FE9C190454E09D21D1A9E4AAL7CA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AF565LBC4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EE40E8CC65DD87F24C1A1DFCEA6D447E1CCE5EF99F145600BFC67C86LAC0Q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1A1DFCEA6D447E1CC15BFB9D145600BFC67C86A0EEFD3DA2B5B9F56CBC78LCCB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A508-5D8E-4822-B553-FB913810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6</cp:revision>
  <cp:lastPrinted>2017-12-25T07:02:00Z</cp:lastPrinted>
  <dcterms:created xsi:type="dcterms:W3CDTF">2018-03-02T06:06:00Z</dcterms:created>
  <dcterms:modified xsi:type="dcterms:W3CDTF">2018-12-25T11:56:00Z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