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E188B" w:rsidRDefault="007E188B" w:rsidP="007E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88B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 от </w:t>
      </w:r>
      <w:r w:rsidRPr="007E188B">
        <w:rPr>
          <w:rFonts w:ascii="Times New Roman" w:hAnsi="Times New Roman"/>
          <w:sz w:val="28"/>
          <w:szCs w:val="28"/>
        </w:rPr>
        <w:t>17.04.15г.№332/1, от 19.06.15г.№522, от 23.10.15г.№885, от 31.12.15г.№1187, от 31.12.15г.№1201, от 31.03.16г.№247, от 30.08.16г.№672, от 23 декабря 2016г.№977</w:t>
      </w:r>
      <w:r>
        <w:rPr>
          <w:rFonts w:ascii="Times New Roman" w:hAnsi="Times New Roman"/>
          <w:sz w:val="28"/>
          <w:szCs w:val="28"/>
        </w:rPr>
        <w:t>, от 27 декабря 2016г.№987</w:t>
      </w:r>
      <w:r w:rsidR="0099636A">
        <w:rPr>
          <w:rFonts w:ascii="Times New Roman" w:hAnsi="Times New Roman"/>
          <w:sz w:val="28"/>
          <w:szCs w:val="28"/>
        </w:rPr>
        <w:t xml:space="preserve">, от </w:t>
      </w:r>
      <w:r w:rsidR="005D7055">
        <w:rPr>
          <w:rFonts w:ascii="Times New Roman" w:hAnsi="Times New Roman"/>
          <w:sz w:val="28"/>
          <w:szCs w:val="28"/>
        </w:rPr>
        <w:t xml:space="preserve">21 </w:t>
      </w:r>
      <w:r w:rsidR="0099636A">
        <w:rPr>
          <w:rFonts w:ascii="Times New Roman" w:hAnsi="Times New Roman"/>
          <w:sz w:val="28"/>
          <w:szCs w:val="28"/>
        </w:rPr>
        <w:t>февраля №</w:t>
      </w:r>
      <w:r w:rsidR="005D7055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</w:t>
            </w:r>
            <w:r w:rsidR="006A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09C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18 301 839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24 402 861,65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числе за счет средств, поступающих из областного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16 065 433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Pr="00770978" w:rsidRDefault="006A309C" w:rsidP="0099636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16 729 933,00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1 567 803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94558B" w:rsidRPr="00BF1C85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Pr="00BF1C85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экономическое планирование результатов, осуществляемое в настоящее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lastRenderedPageBreak/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Клетня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сферой</w:t>
      </w:r>
      <w:r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 xml:space="preserve">ного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 xml:space="preserve">сийской Федерации»,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D42311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>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>предоставляются ме</w:t>
      </w:r>
      <w:r w:rsidRPr="00D42311">
        <w:rPr>
          <w:rFonts w:ascii="Times New Roman" w:hAnsi="Times New Roman"/>
          <w:sz w:val="28"/>
          <w:szCs w:val="28"/>
        </w:rPr>
        <w:t>ж</w:t>
      </w:r>
      <w:r w:rsidRPr="00D42311">
        <w:rPr>
          <w:rFonts w:ascii="Times New Roman" w:hAnsi="Times New Roman"/>
          <w:sz w:val="28"/>
          <w:szCs w:val="28"/>
        </w:rPr>
        <w:t xml:space="preserve">бюджетные трансферты в формах, установленных Бюджетным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</w:t>
      </w:r>
      <w:r w:rsidRPr="00D42311">
        <w:rPr>
          <w:rFonts w:ascii="Times New Roman" w:hAnsi="Times New Roman"/>
          <w:sz w:val="28"/>
          <w:szCs w:val="28"/>
        </w:rPr>
        <w:t>й</w:t>
      </w:r>
      <w:r w:rsidRPr="00D42311">
        <w:rPr>
          <w:rFonts w:ascii="Times New Roman" w:hAnsi="Times New Roman"/>
          <w:sz w:val="28"/>
          <w:szCs w:val="28"/>
        </w:rPr>
        <w:t>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убвенции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/>
          <w:sz w:val="28"/>
          <w:szCs w:val="28"/>
        </w:rPr>
        <w:t>за счет 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 xml:space="preserve">ластного бюджета распределяются в соответствии с методиками, утвержденными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без ограничения срока их действия. Утве</w:t>
      </w:r>
      <w:r w:rsidRPr="00D42311">
        <w:rPr>
          <w:rFonts w:ascii="Times New Roman" w:hAnsi="Times New Roman"/>
          <w:sz w:val="28"/>
          <w:szCs w:val="28"/>
        </w:rPr>
        <w:t>р</w:t>
      </w:r>
      <w:r w:rsidRPr="00D42311">
        <w:rPr>
          <w:rFonts w:ascii="Times New Roman" w:hAnsi="Times New Roman"/>
          <w:sz w:val="28"/>
          <w:szCs w:val="28"/>
        </w:rPr>
        <w:t xml:space="preserve">жденные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>субвенций бюдж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8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дерации, с целью более эффективной реализации органами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муниципальных образований принципа сбалансированности бюджета </w:t>
      </w:r>
      <w:hyperlink r:id="rId20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 установлены: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9C0">
        <w:rPr>
          <w:rFonts w:ascii="Times New Roman" w:hAnsi="Times New Roman"/>
          <w:sz w:val="28"/>
          <w:szCs w:val="28"/>
        </w:rPr>
        <w:t>методика расчета органами местного самоуправления муниципальных рай</w:t>
      </w:r>
      <w:r w:rsidRPr="008F09C0">
        <w:rPr>
          <w:rFonts w:ascii="Times New Roman" w:hAnsi="Times New Roman"/>
          <w:sz w:val="28"/>
          <w:szCs w:val="28"/>
        </w:rPr>
        <w:t>о</w:t>
      </w:r>
      <w:r w:rsidRPr="008F09C0">
        <w:rPr>
          <w:rFonts w:ascii="Times New Roman" w:hAnsi="Times New Roman"/>
          <w:sz w:val="28"/>
          <w:szCs w:val="28"/>
        </w:rPr>
        <w:t>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>п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селений, </w:t>
      </w:r>
      <w:r>
        <w:rPr>
          <w:rFonts w:ascii="Times New Roman" w:hAnsi="Times New Roman"/>
          <w:sz w:val="28"/>
          <w:szCs w:val="28"/>
        </w:rPr>
        <w:t xml:space="preserve">предоставляемых за счет субвенций из областного бюджета, и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установления дополнительных нормативов отчислений от налога на 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ходы физических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 (или их часть), за счет субвенций</w:t>
      </w:r>
      <w:r w:rsidR="00623AFC">
        <w:rPr>
          <w:rFonts w:ascii="Times New Roman" w:hAnsi="Times New Roman"/>
          <w:sz w:val="28"/>
          <w:szCs w:val="28"/>
        </w:rPr>
        <w:t>, полученных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  <w:proofErr w:type="gramEnd"/>
    </w:p>
    <w:p w:rsidR="0034057D" w:rsidRPr="009F7FFA" w:rsidRDefault="0034057D" w:rsidP="003405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етодика распределения субвенций бюджетам  муниципальных образований на  осуществление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государственных полномочий Российской Федер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ции по  первичному воинскому учету на территориях, где отсутствуют военные комиссариаты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Утвержденные методики предусматривают распределение дотаций местным бюджетам посредством формул и доступных исходных данных по расчету инде</w:t>
      </w:r>
      <w:r w:rsidRPr="00D42311">
        <w:rPr>
          <w:rFonts w:ascii="Times New Roman" w:hAnsi="Times New Roman"/>
          <w:sz w:val="28"/>
          <w:szCs w:val="28"/>
        </w:rPr>
        <w:t>к</w:t>
      </w:r>
      <w:r w:rsidRPr="00D42311">
        <w:rPr>
          <w:rFonts w:ascii="Times New Roman" w:hAnsi="Times New Roman"/>
          <w:sz w:val="28"/>
          <w:szCs w:val="28"/>
        </w:rPr>
        <w:t xml:space="preserve">сов налогового потенциала и бюджетных расходов муниципального образования. Непосредственное распределение дотаций </w:t>
      </w:r>
      <w:r>
        <w:rPr>
          <w:rFonts w:ascii="Times New Roman" w:hAnsi="Times New Roman"/>
          <w:sz w:val="28"/>
          <w:szCs w:val="28"/>
        </w:rPr>
        <w:t>и субвенций</w:t>
      </w:r>
      <w:r w:rsidRPr="00D42311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муниципального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переданные бюджетам поселений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полнение полномочий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район»</w:t>
      </w:r>
      <w:r w:rsidR="00F06934">
        <w:rPr>
          <w:rFonts w:ascii="Times New Roman" w:hAnsi="Times New Roman"/>
          <w:sz w:val="28"/>
          <w:szCs w:val="28"/>
        </w:rPr>
        <w:t xml:space="preserve">, </w:t>
      </w:r>
      <w:r w:rsidR="00F06934" w:rsidRPr="00F06934">
        <w:rPr>
          <w:rFonts w:ascii="Times New Roman" w:hAnsi="Times New Roman"/>
          <w:color w:val="0033CC"/>
          <w:sz w:val="28"/>
          <w:szCs w:val="28"/>
        </w:rPr>
        <w:t>в том числе</w:t>
      </w:r>
      <w:r w:rsidR="00F06934">
        <w:rPr>
          <w:rFonts w:ascii="Times New Roman" w:hAnsi="Times New Roman"/>
          <w:color w:val="0033CC"/>
          <w:sz w:val="28"/>
          <w:szCs w:val="28"/>
        </w:rPr>
        <w:t>,</w:t>
      </w:r>
      <w:r w:rsidRPr="00F06934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заключенными Соглашени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D42311">
        <w:rPr>
          <w:rFonts w:ascii="Times New Roman" w:hAnsi="Times New Roman"/>
          <w:sz w:val="28"/>
          <w:szCs w:val="28"/>
        </w:rPr>
        <w:t xml:space="preserve">распределяются в соответствии с порядками и методиками, утвержденными </w:t>
      </w:r>
      <w:r w:rsidRPr="00103007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Pr="00103007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103007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 Как и по другим формам трансфертов, утвержденные методики распределения иных межбюдже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ных трансфертов предусматривают формулы, основанные на применении в расч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тах доступных исходных данных.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A38" w:rsidRPr="00770978" w:rsidRDefault="000D4A3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межбюджетных отношений с органами местного самоуправления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следующих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lastRenderedPageBreak/>
        <w:t>1) определение исходных данных для формирования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шений с муниципальными образованиями и проведение согласования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</w:t>
      </w:r>
      <w:r w:rsidRPr="00D42311">
        <w:rPr>
          <w:rFonts w:ascii="Times New Roman" w:hAnsi="Times New Roman"/>
          <w:sz w:val="28"/>
          <w:szCs w:val="28"/>
        </w:rPr>
        <w:t>ы</w:t>
      </w:r>
      <w:r w:rsidRPr="00D42311">
        <w:rPr>
          <w:rFonts w:ascii="Times New Roman" w:hAnsi="Times New Roman"/>
          <w:sz w:val="28"/>
          <w:szCs w:val="28"/>
        </w:rPr>
        <w:t>равнивание бюджетной обеспеченности муниципальных образований и на по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поселений, дот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поселений, пред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>родского и сельских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обеспеченности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</w:t>
      </w:r>
      <w:r w:rsidR="00F06934">
        <w:rPr>
          <w:rFonts w:ascii="Times New Roman" w:hAnsi="Times New Roman"/>
          <w:sz w:val="28"/>
          <w:szCs w:val="28"/>
        </w:rPr>
        <w:t>и</w:t>
      </w:r>
      <w:r w:rsidR="00F06934">
        <w:rPr>
          <w:rFonts w:ascii="Times New Roman" w:hAnsi="Times New Roman"/>
          <w:sz w:val="28"/>
          <w:szCs w:val="28"/>
        </w:rPr>
        <w:t>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направляемых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распред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полномочий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F06934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F06934">
        <w:rPr>
          <w:rFonts w:ascii="Times New Roman" w:hAnsi="Times New Roman"/>
          <w:sz w:val="28"/>
          <w:szCs w:val="28"/>
        </w:rPr>
        <w:t>;</w:t>
      </w:r>
    </w:p>
    <w:p w:rsidR="0094558B" w:rsidRPr="004403E1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</w:t>
      </w:r>
      <w:r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1</w:t>
      </w:r>
      <w:r w:rsidR="00F06934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99636A" w:rsidRPr="0099636A">
        <w:rPr>
          <w:rFonts w:ascii="Times New Roman" w:hAnsi="Times New Roman"/>
          <w:sz w:val="28"/>
          <w:szCs w:val="28"/>
        </w:rPr>
        <w:t>24 402 861,65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99636A">
        <w:rPr>
          <w:rFonts w:ascii="Times New Roman" w:hAnsi="Times New Roman"/>
          <w:sz w:val="28"/>
          <w:szCs w:val="28"/>
        </w:rPr>
        <w:t>16 065 433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94558B" w:rsidRPr="0077097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99636A">
        <w:rPr>
          <w:rFonts w:ascii="Times New Roman" w:hAnsi="Times New Roman"/>
          <w:sz w:val="28"/>
          <w:szCs w:val="28"/>
        </w:rPr>
        <w:t>16 729 933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B3335F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 xml:space="preserve">правового регулирования, направленных на достижение целей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5865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lastRenderedPageBreak/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</w:t>
            </w:r>
            <w:r w:rsidRPr="004F08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857"/>
        <w:gridCol w:w="567"/>
        <w:gridCol w:w="851"/>
        <w:gridCol w:w="992"/>
        <w:gridCol w:w="992"/>
        <w:gridCol w:w="993"/>
        <w:gridCol w:w="992"/>
        <w:gridCol w:w="992"/>
        <w:gridCol w:w="992"/>
      </w:tblGrid>
      <w:tr w:rsidR="00D10AF0" w:rsidRPr="009154D8" w:rsidTr="00D10AF0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дикатора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2014 год </w:t>
            </w:r>
          </w:p>
          <w:p w:rsidR="00D10AF0" w:rsidRPr="009154D8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D10AF0" w:rsidRPr="009154D8" w:rsidTr="00D10AF0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6F5C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муниципал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айон", 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мируемых в рамках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6F5CE3" w:rsidRDefault="00D10AF0" w:rsidP="009D2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D10AF0" w:rsidRPr="009154D8" w:rsidTr="00D10AF0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публикации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инфо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 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стеме упра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10AF0" w:rsidRPr="009154D8" w:rsidTr="008B7AAB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объема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внутре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 общему г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довому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B3B24" w:rsidP="00DB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&lt;</w:t>
            </w: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50,0</w:t>
            </w:r>
            <w:r w:rsidR="00D10AF0"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сроченной кредито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задо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женности по состоянию на конец отчё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периода в общем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 расходов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фактического объема нал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говых и 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налоговых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от первон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9636A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3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EC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94558B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A8D" w:rsidRPr="0094558B" w:rsidRDefault="000F2A8D" w:rsidP="0094558B"/>
    <w:sectPr w:rsidR="000F2A8D" w:rsidRPr="0094558B" w:rsidSect="0017589F">
      <w:headerReference w:type="default" r:id="rId2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F" w:rsidRDefault="00B3335F">
      <w:pPr>
        <w:spacing w:after="0" w:line="240" w:lineRule="auto"/>
      </w:pPr>
      <w:r>
        <w:separator/>
      </w:r>
    </w:p>
  </w:endnote>
  <w:endnote w:type="continuationSeparator" w:id="0">
    <w:p w:rsidR="00B3335F" w:rsidRDefault="00B3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F" w:rsidRDefault="00B3335F">
      <w:pPr>
        <w:spacing w:after="0" w:line="240" w:lineRule="auto"/>
      </w:pPr>
      <w:r>
        <w:separator/>
      </w:r>
    </w:p>
  </w:footnote>
  <w:footnote w:type="continuationSeparator" w:id="0">
    <w:p w:rsidR="00B3335F" w:rsidRDefault="00B3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9C" w:rsidRDefault="006A3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4A38"/>
    <w:rsid w:val="000E5B32"/>
    <w:rsid w:val="000E5B9B"/>
    <w:rsid w:val="000F2A8D"/>
    <w:rsid w:val="00103007"/>
    <w:rsid w:val="00107109"/>
    <w:rsid w:val="00111272"/>
    <w:rsid w:val="00117E1B"/>
    <w:rsid w:val="001425C2"/>
    <w:rsid w:val="00161145"/>
    <w:rsid w:val="00173CA6"/>
    <w:rsid w:val="00174238"/>
    <w:rsid w:val="0017589F"/>
    <w:rsid w:val="00177549"/>
    <w:rsid w:val="001937FD"/>
    <w:rsid w:val="001C3545"/>
    <w:rsid w:val="001D0D15"/>
    <w:rsid w:val="001E395A"/>
    <w:rsid w:val="001F03FD"/>
    <w:rsid w:val="001F4FE0"/>
    <w:rsid w:val="00200F4A"/>
    <w:rsid w:val="0021124F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055"/>
    <w:rsid w:val="005D7AE7"/>
    <w:rsid w:val="005E0876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735E4"/>
    <w:rsid w:val="006A309C"/>
    <w:rsid w:val="006B1AA5"/>
    <w:rsid w:val="006C0456"/>
    <w:rsid w:val="006C7489"/>
    <w:rsid w:val="006D1B83"/>
    <w:rsid w:val="006D563F"/>
    <w:rsid w:val="006E55CC"/>
    <w:rsid w:val="006F4805"/>
    <w:rsid w:val="006F5CE3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335F"/>
    <w:rsid w:val="00B75D33"/>
    <w:rsid w:val="00BA7776"/>
    <w:rsid w:val="00BE2E30"/>
    <w:rsid w:val="00BF19A0"/>
    <w:rsid w:val="00BF1C85"/>
    <w:rsid w:val="00BF2A7D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F2DE7"/>
    <w:rsid w:val="00D10AF0"/>
    <w:rsid w:val="00D11C9B"/>
    <w:rsid w:val="00D360E3"/>
    <w:rsid w:val="00D66D6F"/>
    <w:rsid w:val="00D72A32"/>
    <w:rsid w:val="00D73CF7"/>
    <w:rsid w:val="00D82EAD"/>
    <w:rsid w:val="00D93D3C"/>
    <w:rsid w:val="00D95C5C"/>
    <w:rsid w:val="00DB3B24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8059E"/>
    <w:rsid w:val="00E91589"/>
    <w:rsid w:val="00E939C8"/>
    <w:rsid w:val="00EA5F1F"/>
    <w:rsid w:val="00EB2D04"/>
    <w:rsid w:val="00EB38F9"/>
    <w:rsid w:val="00EB3FF1"/>
    <w:rsid w:val="00EC335F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1A1DFCEA6D447E1CCE5EF99F145600BFC67C86LAC0Q" TargetMode="External"/><Relationship Id="rId18" Type="http://schemas.openxmlformats.org/officeDocument/2006/relationships/hyperlink" Target="consultantplus://offline/ref=E0EE40E8CC65DD87F24C1A1DFCEA6D447E1CC15BFB9D145600BFC67C86A0EEFD3DA2B5BAF565LBC4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LAC0Q" TargetMode="External"/><Relationship Id="rId17" Type="http://schemas.openxmlformats.org/officeDocument/2006/relationships/hyperlink" Target="consultantplus://offline/ref=E0EE40E8CC65DD87F24C1A1DFCEA6D447E1CC15BFB9D145600BFC67C86A0EEFD3DA2B5B9F56CBC78LCC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0410EA8631497E119652FE9C190454E09D21D1A9E4AAL7CAQ" TargetMode="External"/><Relationship Id="rId20" Type="http://schemas.openxmlformats.org/officeDocument/2006/relationships/hyperlink" Target="consultantplus://offline/ref=E0EE40E8CC65DD87F24C0410EA8631497E119652FE9C190454E09D21D1A9E4AAL7C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9F66CLBCDQ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hyperlink" Target="consultantplus://offline/ref=E0EE40E8CC65DD87F24C1A1DFCEA6D447E1CC15BFB9D145600BFC67C86A0EEFD3DA2B5BAF46DLBC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0410EA8631497E119652FE9C190454E09D21D1A9E4AAL7CAQ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9BAF-6734-4E68-B0AB-B2165E53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5</cp:revision>
  <cp:lastPrinted>2016-12-23T13:28:00Z</cp:lastPrinted>
  <dcterms:created xsi:type="dcterms:W3CDTF">2017-01-19T11:05:00Z</dcterms:created>
  <dcterms:modified xsi:type="dcterms:W3CDTF">2017-05-17T06:24:00Z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