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5" w:rsidRPr="00233E35" w:rsidRDefault="008B0D15" w:rsidP="008B0D15">
      <w:pPr>
        <w:pStyle w:val="ConsNormal"/>
        <w:widowControl/>
        <w:spacing w:before="120" w:after="120"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3E35">
        <w:rPr>
          <w:rFonts w:ascii="Times New Roman" w:hAnsi="Times New Roman"/>
          <w:b/>
          <w:sz w:val="28"/>
          <w:szCs w:val="28"/>
        </w:rPr>
        <w:t xml:space="preserve">Предложения </w:t>
      </w:r>
    </w:p>
    <w:p w:rsidR="008B0D15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3E35">
        <w:rPr>
          <w:rFonts w:ascii="Times New Roman" w:hAnsi="Times New Roman"/>
          <w:b/>
          <w:sz w:val="28"/>
          <w:szCs w:val="28"/>
        </w:rPr>
        <w:t xml:space="preserve">по  индексации минимальных размеров </w:t>
      </w:r>
      <w:r>
        <w:rPr>
          <w:rFonts w:ascii="Times New Roman" w:hAnsi="Times New Roman"/>
          <w:b/>
          <w:sz w:val="28"/>
          <w:szCs w:val="28"/>
        </w:rPr>
        <w:t>социальных выплат</w:t>
      </w:r>
      <w:r w:rsidRPr="00233E35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денежного содержания муниципальных служащих, индексации (повышении) оплаты труда работников организаций бюджетной сферы </w:t>
      </w:r>
    </w:p>
    <w:p w:rsidR="008B0D15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B0D15" w:rsidRPr="00233E35" w:rsidRDefault="008B0D15" w:rsidP="008B0D15">
      <w:pPr>
        <w:pStyle w:val="ConsNormal"/>
        <w:widowControl/>
        <w:spacing w:before="120" w:after="120"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B0D15" w:rsidRDefault="008B0D15" w:rsidP="008B0D15">
      <w:pPr>
        <w:pStyle w:val="ConsNormal"/>
        <w:widowControl/>
        <w:spacing w:before="120" w:after="120" w:line="252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B0D15">
        <w:rPr>
          <w:rFonts w:ascii="Times New Roman" w:hAnsi="Times New Roman" w:cs="Times New Roman"/>
          <w:sz w:val="28"/>
          <w:szCs w:val="28"/>
        </w:rPr>
        <w:t>Планирование расходов бюджета муниципального образования «</w:t>
      </w:r>
      <w:proofErr w:type="spellStart"/>
      <w:r w:rsidRPr="008B0D15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8B0D15">
        <w:rPr>
          <w:rFonts w:ascii="Times New Roman" w:hAnsi="Times New Roman" w:cs="Times New Roman"/>
          <w:sz w:val="28"/>
          <w:szCs w:val="28"/>
        </w:rPr>
        <w:t xml:space="preserve"> муниципальный район» на 2017 год и на плановый период 2018 и 2019 годов осуществляется без учета</w:t>
      </w:r>
      <w:r w:rsidRPr="008B0D15">
        <w:rPr>
          <w:rFonts w:ascii="Times New Roman" w:hAnsi="Times New Roman"/>
          <w:sz w:val="28"/>
          <w:szCs w:val="28"/>
        </w:rPr>
        <w:t xml:space="preserve"> индексации минимальных размеров социальных выплат, денежного содержания муниципальных служащих, индексации (повышении) оплаты труда работников организаций бюджетной сферы</w:t>
      </w:r>
      <w:r>
        <w:rPr>
          <w:rFonts w:ascii="Times New Roman" w:hAnsi="Times New Roman"/>
          <w:sz w:val="28"/>
          <w:szCs w:val="28"/>
        </w:rPr>
        <w:t>, за исключением отдельных статей расходов, финансирование которых осуществляется за счет субвенций из областного бюджета:</w:t>
      </w:r>
      <w:proofErr w:type="gramEnd"/>
    </w:p>
    <w:p w:rsidR="00752057" w:rsidRDefault="00752057" w:rsidP="008B0D15">
      <w:pPr>
        <w:pStyle w:val="ConsNormal"/>
        <w:widowControl/>
        <w:spacing w:before="120" w:after="120" w:line="252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B0D15" w:rsidRPr="00233E35" w:rsidRDefault="008B0D15" w:rsidP="008B0D15">
      <w:pPr>
        <w:keepNext/>
        <w:spacing w:before="120" w:line="257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33E35">
        <w:rPr>
          <w:rFonts w:ascii="Times New Roman" w:hAnsi="Times New Roman"/>
          <w:sz w:val="28"/>
          <w:szCs w:val="28"/>
        </w:rPr>
        <w:t>Таблица 1</w:t>
      </w:r>
    </w:p>
    <w:p w:rsidR="008B0D15" w:rsidRPr="00233E35" w:rsidRDefault="00792F8F" w:rsidP="008B0D15">
      <w:pPr>
        <w:keepNext/>
        <w:spacing w:after="120" w:line="257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р</w:t>
      </w:r>
      <w:r w:rsidR="008B0D15" w:rsidRPr="00233E35">
        <w:rPr>
          <w:rFonts w:ascii="Times New Roman" w:hAnsi="Times New Roman"/>
          <w:sz w:val="28"/>
          <w:szCs w:val="28"/>
        </w:rPr>
        <w:t>ешения об индексации отдельных статей расходов,</w:t>
      </w:r>
      <w:r w:rsidR="008B0D15" w:rsidRPr="00233E35">
        <w:rPr>
          <w:rFonts w:ascii="Times New Roman" w:hAnsi="Times New Roman"/>
          <w:sz w:val="28"/>
          <w:szCs w:val="28"/>
        </w:rPr>
        <w:br/>
      </w:r>
      <w:r w:rsidR="008B0D15">
        <w:rPr>
          <w:rFonts w:ascii="Times New Roman" w:hAnsi="Times New Roman"/>
          <w:sz w:val="28"/>
          <w:szCs w:val="28"/>
        </w:rPr>
        <w:t>финансирование которых осуществляется за счет субвенций из областного бюджета</w:t>
      </w:r>
      <w:r w:rsidR="008B0D15" w:rsidRPr="00233E35">
        <w:rPr>
          <w:rFonts w:ascii="Times New Roman" w:hAnsi="Times New Roman"/>
          <w:sz w:val="28"/>
          <w:szCs w:val="28"/>
        </w:rPr>
        <w:t xml:space="preserve"> на 201</w:t>
      </w:r>
      <w:r w:rsidR="008B0D15">
        <w:rPr>
          <w:rFonts w:ascii="Times New Roman" w:hAnsi="Times New Roman"/>
          <w:sz w:val="28"/>
          <w:szCs w:val="28"/>
        </w:rPr>
        <w:t>7</w:t>
      </w:r>
      <w:r w:rsidR="008B0D15" w:rsidRPr="00233E35">
        <w:rPr>
          <w:rFonts w:ascii="Times New Roman" w:hAnsi="Times New Roman"/>
          <w:sz w:val="28"/>
          <w:szCs w:val="28"/>
        </w:rPr>
        <w:t xml:space="preserve"> год</w:t>
      </w:r>
      <w:r w:rsidR="008B0D15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987"/>
        <w:gridCol w:w="2798"/>
      </w:tblGrid>
      <w:tr w:rsidR="008B0D15" w:rsidRPr="004D7678" w:rsidTr="0064187D">
        <w:trPr>
          <w:cantSplit/>
          <w:trHeight w:val="976"/>
          <w:tblHeader/>
        </w:trPr>
        <w:tc>
          <w:tcPr>
            <w:tcW w:w="2433" w:type="pct"/>
            <w:shd w:val="clear" w:color="auto" w:fill="auto"/>
            <w:vAlign w:val="center"/>
          </w:tcPr>
          <w:p w:rsidR="008B0D15" w:rsidRPr="00821FBD" w:rsidRDefault="008B0D15" w:rsidP="00E8022B">
            <w:pPr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BD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8B0D15" w:rsidRPr="00821FBD" w:rsidRDefault="008B0D15" w:rsidP="00E8022B">
            <w:pPr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BD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821FBD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8B0D15" w:rsidRPr="00821FBD" w:rsidRDefault="008B0D15" w:rsidP="00E8022B">
            <w:pPr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BD">
              <w:rPr>
                <w:rFonts w:ascii="Times New Roman" w:hAnsi="Times New Roman"/>
                <w:sz w:val="28"/>
                <w:szCs w:val="28"/>
              </w:rPr>
              <w:t>Дата начала применения коэффициента</w:t>
            </w:r>
            <w:r w:rsidRPr="00821FBD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</w:tr>
      <w:tr w:rsidR="008B0D15" w:rsidRPr="004D7678" w:rsidTr="0064187D">
        <w:trPr>
          <w:cantSplit/>
          <w:trHeight w:val="1022"/>
        </w:trPr>
        <w:tc>
          <w:tcPr>
            <w:tcW w:w="2433" w:type="pct"/>
            <w:shd w:val="clear" w:color="auto" w:fill="auto"/>
            <w:vAlign w:val="center"/>
          </w:tcPr>
          <w:p w:rsidR="008B0D15" w:rsidRPr="00821FBD" w:rsidRDefault="008B0D15" w:rsidP="00E8022B">
            <w:pPr>
              <w:spacing w:line="257" w:lineRule="auto"/>
              <w:rPr>
                <w:rFonts w:ascii="Times New Roman" w:hAnsi="Times New Roman"/>
                <w:sz w:val="28"/>
                <w:szCs w:val="28"/>
              </w:rPr>
            </w:pPr>
            <w:r w:rsidRPr="00821FBD">
              <w:rPr>
                <w:rFonts w:ascii="Times New Roman" w:hAnsi="Times New Roman"/>
                <w:sz w:val="28"/>
                <w:szCs w:val="28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8B0D15" w:rsidRPr="00821FBD" w:rsidRDefault="008B0D15" w:rsidP="00E8022B">
            <w:pPr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BD">
              <w:rPr>
                <w:rFonts w:ascii="Times New Roman" w:hAnsi="Times New Roman"/>
                <w:sz w:val="28"/>
                <w:szCs w:val="28"/>
              </w:rPr>
              <w:t>1,049</w:t>
            </w:r>
          </w:p>
          <w:p w:rsidR="008B0D15" w:rsidRPr="00821FBD" w:rsidRDefault="008B0D15" w:rsidP="00E8022B">
            <w:pPr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BD">
              <w:rPr>
                <w:rFonts w:ascii="Times New Roman" w:hAnsi="Times New Roman"/>
                <w:sz w:val="28"/>
                <w:szCs w:val="28"/>
              </w:rPr>
              <w:t>1,045</w:t>
            </w:r>
          </w:p>
          <w:p w:rsidR="008B0D15" w:rsidRPr="00821FBD" w:rsidRDefault="008B0D15" w:rsidP="00E8022B">
            <w:pPr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BD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8B0D15" w:rsidRPr="00821FBD" w:rsidRDefault="008B0D15" w:rsidP="00E8022B">
            <w:pPr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BD">
              <w:rPr>
                <w:rFonts w:ascii="Times New Roman" w:hAnsi="Times New Roman"/>
                <w:sz w:val="28"/>
                <w:szCs w:val="28"/>
              </w:rPr>
              <w:t>1 октября 2017 года</w:t>
            </w:r>
          </w:p>
          <w:p w:rsidR="008B0D15" w:rsidRPr="00821FBD" w:rsidRDefault="008B0D15" w:rsidP="00E8022B">
            <w:pPr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BD">
              <w:rPr>
                <w:rFonts w:ascii="Times New Roman" w:hAnsi="Times New Roman"/>
                <w:sz w:val="28"/>
                <w:szCs w:val="28"/>
              </w:rPr>
              <w:t>1 октября 2018 года</w:t>
            </w:r>
          </w:p>
          <w:p w:rsidR="008B0D15" w:rsidRPr="00821FBD" w:rsidRDefault="008B0D15" w:rsidP="00E8022B">
            <w:pPr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BD">
              <w:rPr>
                <w:rFonts w:ascii="Times New Roman" w:hAnsi="Times New Roman"/>
                <w:sz w:val="28"/>
                <w:szCs w:val="28"/>
              </w:rPr>
              <w:t>1 октября 2019 года</w:t>
            </w:r>
          </w:p>
        </w:tc>
      </w:tr>
    </w:tbl>
    <w:p w:rsidR="008B0D15" w:rsidRDefault="008B0D15" w:rsidP="008B0D15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D15" w:rsidRDefault="008B0D15" w:rsidP="008B0D15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947">
        <w:rPr>
          <w:rFonts w:ascii="Times New Roman" w:hAnsi="Times New Roman"/>
          <w:sz w:val="28"/>
          <w:szCs w:val="28"/>
        </w:rPr>
        <w:t xml:space="preserve">С целью повышения уровня государственной поддержки </w:t>
      </w:r>
      <w:r>
        <w:rPr>
          <w:rFonts w:ascii="Times New Roman" w:hAnsi="Times New Roman"/>
          <w:sz w:val="28"/>
          <w:szCs w:val="28"/>
        </w:rPr>
        <w:t>наиболее</w:t>
      </w:r>
      <w:r w:rsidRPr="006D49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4947">
        <w:rPr>
          <w:rFonts w:ascii="Times New Roman" w:hAnsi="Times New Roman"/>
          <w:sz w:val="28"/>
          <w:szCs w:val="28"/>
        </w:rPr>
        <w:t xml:space="preserve">социально незащищенных слоев населения </w:t>
      </w:r>
      <w:r w:rsidR="00792F8F">
        <w:rPr>
          <w:rFonts w:ascii="Times New Roman" w:hAnsi="Times New Roman"/>
          <w:sz w:val="28"/>
          <w:szCs w:val="28"/>
        </w:rPr>
        <w:t>за счет средств</w:t>
      </w:r>
      <w:r w:rsidRPr="006D4947">
        <w:rPr>
          <w:rFonts w:ascii="Times New Roman" w:hAnsi="Times New Roman"/>
          <w:sz w:val="28"/>
          <w:szCs w:val="28"/>
        </w:rPr>
        <w:t xml:space="preserve"> областного бюджета на 201</w:t>
      </w:r>
      <w:r>
        <w:rPr>
          <w:rFonts w:ascii="Times New Roman" w:hAnsi="Times New Roman"/>
          <w:sz w:val="28"/>
          <w:szCs w:val="28"/>
        </w:rPr>
        <w:t>7</w:t>
      </w:r>
      <w:r w:rsidRPr="006D494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и на плановый период 2018 и 2019 годов </w:t>
      </w:r>
      <w:r w:rsidRPr="006D4947">
        <w:rPr>
          <w:rFonts w:ascii="Times New Roman" w:hAnsi="Times New Roman"/>
          <w:sz w:val="28"/>
          <w:szCs w:val="28"/>
        </w:rPr>
        <w:t xml:space="preserve">запланировано увеличение размеров действующих на территории региона социальных выплат и пособий на </w:t>
      </w:r>
      <w:r>
        <w:rPr>
          <w:rFonts w:ascii="Times New Roman" w:hAnsi="Times New Roman"/>
          <w:sz w:val="28"/>
          <w:szCs w:val="28"/>
        </w:rPr>
        <w:t>4,9</w:t>
      </w:r>
      <w:r w:rsidRPr="006D4947">
        <w:rPr>
          <w:rFonts w:ascii="Times New Roman" w:hAnsi="Times New Roman"/>
          <w:sz w:val="28"/>
          <w:szCs w:val="28"/>
        </w:rPr>
        <w:t xml:space="preserve">% с 1 </w:t>
      </w:r>
      <w:r>
        <w:rPr>
          <w:rFonts w:ascii="Times New Roman" w:hAnsi="Times New Roman"/>
          <w:sz w:val="28"/>
          <w:szCs w:val="28"/>
        </w:rPr>
        <w:t>октября</w:t>
      </w:r>
      <w:r w:rsidRPr="006D494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6D494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 на 4,5% с 1 октября 2018 года, на 4,0% с 1 октября 2019 года (Таблица 2).</w:t>
      </w:r>
      <w:proofErr w:type="gramEnd"/>
    </w:p>
    <w:p w:rsidR="008B0D15" w:rsidRPr="00233E35" w:rsidRDefault="008B0D15" w:rsidP="008B0D15">
      <w:pPr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D15" w:rsidRDefault="008B0D15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52057" w:rsidRDefault="00752057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52057" w:rsidRDefault="00752057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52057" w:rsidRDefault="00752057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0D15" w:rsidRPr="006D4947" w:rsidRDefault="008B0D15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8B0D15" w:rsidRDefault="008B0D15" w:rsidP="00792F8F">
      <w:pPr>
        <w:keepNext/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  <w:r w:rsidRPr="00821FBD">
        <w:rPr>
          <w:rFonts w:ascii="Times New Roman" w:hAnsi="Times New Roman"/>
          <w:sz w:val="28"/>
          <w:szCs w:val="28"/>
        </w:rPr>
        <w:t>Принятые решения об индексации социальных выплат</w:t>
      </w:r>
      <w:r w:rsidR="00792F8F">
        <w:rPr>
          <w:rFonts w:ascii="Times New Roman" w:hAnsi="Times New Roman"/>
          <w:sz w:val="28"/>
          <w:szCs w:val="28"/>
        </w:rPr>
        <w:t>,</w:t>
      </w:r>
      <w:r w:rsidRPr="00821FBD">
        <w:rPr>
          <w:rFonts w:ascii="Times New Roman" w:hAnsi="Times New Roman"/>
          <w:sz w:val="28"/>
          <w:szCs w:val="28"/>
        </w:rPr>
        <w:t xml:space="preserve"> </w:t>
      </w:r>
      <w:r w:rsidR="00792F8F">
        <w:rPr>
          <w:rFonts w:ascii="Times New Roman" w:hAnsi="Times New Roman"/>
          <w:sz w:val="28"/>
          <w:szCs w:val="28"/>
        </w:rPr>
        <w:t>финансирование которых осуществляется за счет субвенций из областного бюджета</w:t>
      </w:r>
      <w:r w:rsidR="00792F8F" w:rsidRPr="00233E35">
        <w:rPr>
          <w:rFonts w:ascii="Times New Roman" w:hAnsi="Times New Roman"/>
          <w:sz w:val="28"/>
          <w:szCs w:val="28"/>
        </w:rPr>
        <w:t xml:space="preserve"> </w:t>
      </w:r>
      <w:r w:rsidRPr="00821FBD">
        <w:rPr>
          <w:rFonts w:ascii="Times New Roman" w:hAnsi="Times New Roman"/>
          <w:sz w:val="28"/>
          <w:szCs w:val="28"/>
        </w:rPr>
        <w:t>в 2017 - 2019 годах</w:t>
      </w:r>
    </w:p>
    <w:p w:rsidR="00792F8F" w:rsidRPr="00821FBD" w:rsidRDefault="00792F8F" w:rsidP="00792F8F">
      <w:pPr>
        <w:keepNext/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696"/>
        <w:gridCol w:w="1694"/>
        <w:gridCol w:w="1733"/>
      </w:tblGrid>
      <w:tr w:rsidR="008B0D15" w:rsidRPr="00821FBD" w:rsidTr="00792F8F">
        <w:trPr>
          <w:cantSplit/>
          <w:trHeight w:val="1207"/>
          <w:tblHeader/>
        </w:trPr>
        <w:tc>
          <w:tcPr>
            <w:tcW w:w="1518" w:type="pct"/>
            <w:shd w:val="clear" w:color="auto" w:fill="auto"/>
            <w:vAlign w:val="center"/>
          </w:tcPr>
          <w:p w:rsidR="008B0D15" w:rsidRPr="00821FBD" w:rsidRDefault="008B0D15" w:rsidP="00E8022B">
            <w:pPr>
              <w:jc w:val="center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>Наименование социальных выплат и пособий, по которым приняты решения об индексации (финансовое обеспечение которых осуществляется за счет средств областного бюджета)</w:t>
            </w:r>
          </w:p>
        </w:tc>
        <w:tc>
          <w:tcPr>
            <w:tcW w:w="868" w:type="pct"/>
            <w:shd w:val="clear" w:color="auto" w:fill="auto"/>
          </w:tcPr>
          <w:p w:rsidR="008B0D15" w:rsidRPr="00821FBD" w:rsidRDefault="008B0D15" w:rsidP="00792F8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FBD">
              <w:rPr>
                <w:rFonts w:ascii="Times New Roman" w:hAnsi="Times New Roman" w:cs="Times New Roman"/>
                <w:sz w:val="22"/>
                <w:szCs w:val="22"/>
              </w:rPr>
              <w:t>Размер выплаты в 2016 году, рублей</w:t>
            </w:r>
          </w:p>
        </w:tc>
        <w:tc>
          <w:tcPr>
            <w:tcW w:w="865" w:type="pct"/>
          </w:tcPr>
          <w:p w:rsidR="008B0D15" w:rsidRPr="00821FBD" w:rsidRDefault="008B0D15" w:rsidP="00792F8F">
            <w:pPr>
              <w:jc w:val="both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 xml:space="preserve">Размер выплаты с 1 октября 2017 года с учетом индексации на 4,9%, рублей </w:t>
            </w:r>
          </w:p>
        </w:tc>
        <w:tc>
          <w:tcPr>
            <w:tcW w:w="864" w:type="pct"/>
          </w:tcPr>
          <w:p w:rsidR="008B0D15" w:rsidRPr="00821FBD" w:rsidRDefault="008B0D15" w:rsidP="00792F8F">
            <w:pPr>
              <w:jc w:val="both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 xml:space="preserve">Размер выплаты с 1 октября 2018 года с учетом индексации на 4,5%, рублей </w:t>
            </w:r>
          </w:p>
        </w:tc>
        <w:tc>
          <w:tcPr>
            <w:tcW w:w="884" w:type="pct"/>
            <w:shd w:val="clear" w:color="auto" w:fill="auto"/>
          </w:tcPr>
          <w:p w:rsidR="008B0D15" w:rsidRPr="00821FBD" w:rsidRDefault="008B0D15" w:rsidP="00792F8F">
            <w:pPr>
              <w:jc w:val="both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 xml:space="preserve">Размер выплаты с 1 октября 2019 года с учетом индексации на 4,0%, рублей </w:t>
            </w:r>
          </w:p>
        </w:tc>
      </w:tr>
      <w:tr w:rsidR="008B0D15" w:rsidRPr="00821FBD" w:rsidTr="00792F8F">
        <w:trPr>
          <w:cantSplit/>
          <w:trHeight w:val="585"/>
        </w:trPr>
        <w:tc>
          <w:tcPr>
            <w:tcW w:w="1518" w:type="pct"/>
            <w:shd w:val="clear" w:color="auto" w:fill="auto"/>
            <w:vAlign w:val="center"/>
          </w:tcPr>
          <w:p w:rsidR="008B0D15" w:rsidRPr="00821FBD" w:rsidRDefault="008B0D15" w:rsidP="00E802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>Ежемесячная денежная выплата на содержание подопечного ребенка, переданного на воспитание в семью опекуна (попечителя), приемную семью, в возрасте до 6 лет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B0D15" w:rsidRPr="0064187D" w:rsidRDefault="008B0D15" w:rsidP="00E8022B">
            <w:pPr>
              <w:keepLines/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64187D">
              <w:rPr>
                <w:rFonts w:ascii="Times New Roman" w:hAnsi="Times New Roman"/>
                <w:sz w:val="28"/>
              </w:rPr>
              <w:t>6043</w:t>
            </w:r>
          </w:p>
        </w:tc>
        <w:tc>
          <w:tcPr>
            <w:tcW w:w="865" w:type="pct"/>
            <w:vAlign w:val="center"/>
          </w:tcPr>
          <w:p w:rsidR="008B0D15" w:rsidRPr="0064187D" w:rsidRDefault="008B0D15" w:rsidP="00752057">
            <w:pPr>
              <w:jc w:val="center"/>
              <w:rPr>
                <w:rFonts w:ascii="Times New Roman" w:hAnsi="Times New Roman"/>
                <w:sz w:val="28"/>
              </w:rPr>
            </w:pPr>
            <w:r w:rsidRPr="0064187D">
              <w:rPr>
                <w:rFonts w:ascii="Times New Roman" w:hAnsi="Times New Roman"/>
                <w:sz w:val="28"/>
              </w:rPr>
              <w:t>6 3</w:t>
            </w:r>
            <w:r w:rsidR="00752057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864" w:type="pct"/>
            <w:vAlign w:val="center"/>
          </w:tcPr>
          <w:p w:rsidR="008B0D15" w:rsidRPr="0064187D" w:rsidRDefault="008B0D15" w:rsidP="00E8022B">
            <w:pPr>
              <w:jc w:val="center"/>
              <w:rPr>
                <w:rFonts w:ascii="Times New Roman" w:hAnsi="Times New Roman"/>
                <w:sz w:val="28"/>
              </w:rPr>
            </w:pPr>
            <w:r w:rsidRPr="0064187D">
              <w:rPr>
                <w:rFonts w:ascii="Times New Roman" w:hAnsi="Times New Roman"/>
                <w:sz w:val="28"/>
              </w:rPr>
              <w:t>6 624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B0D15" w:rsidRPr="0064187D" w:rsidRDefault="008B0D15" w:rsidP="00E8022B">
            <w:pPr>
              <w:jc w:val="center"/>
              <w:rPr>
                <w:rFonts w:ascii="Times New Roman" w:hAnsi="Times New Roman"/>
                <w:sz w:val="28"/>
              </w:rPr>
            </w:pPr>
            <w:r w:rsidRPr="0064187D">
              <w:rPr>
                <w:rFonts w:ascii="Times New Roman" w:hAnsi="Times New Roman"/>
                <w:sz w:val="28"/>
              </w:rPr>
              <w:t>6 889</w:t>
            </w:r>
          </w:p>
        </w:tc>
      </w:tr>
      <w:tr w:rsidR="008B0D15" w:rsidRPr="00821FBD" w:rsidTr="00792F8F">
        <w:trPr>
          <w:cantSplit/>
          <w:trHeight w:val="667"/>
        </w:trPr>
        <w:tc>
          <w:tcPr>
            <w:tcW w:w="1518" w:type="pct"/>
            <w:shd w:val="clear" w:color="auto" w:fill="auto"/>
            <w:vAlign w:val="center"/>
          </w:tcPr>
          <w:p w:rsidR="008B0D15" w:rsidRPr="00821FBD" w:rsidRDefault="008B0D15" w:rsidP="00E8022B">
            <w:pPr>
              <w:keepLines/>
              <w:suppressAutoHyphens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>Ежемесячная денежная выплата на содержание подопечного ребенка, переданного на воспитание в семью опекуна (попечителя), приемную семью, в возрасте старше 6 лет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B0D15" w:rsidRPr="0064187D" w:rsidRDefault="008B0D15" w:rsidP="00E8022B">
            <w:pPr>
              <w:keepLines/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64187D">
              <w:rPr>
                <w:rFonts w:ascii="Times New Roman" w:hAnsi="Times New Roman"/>
                <w:sz w:val="28"/>
              </w:rPr>
              <w:t>6 798</w:t>
            </w:r>
          </w:p>
        </w:tc>
        <w:tc>
          <w:tcPr>
            <w:tcW w:w="865" w:type="pct"/>
            <w:vAlign w:val="center"/>
          </w:tcPr>
          <w:p w:rsidR="008B0D15" w:rsidRPr="0064187D" w:rsidRDefault="008B0D15" w:rsidP="00752057">
            <w:pPr>
              <w:jc w:val="center"/>
              <w:rPr>
                <w:rFonts w:ascii="Times New Roman" w:hAnsi="Times New Roman"/>
                <w:sz w:val="28"/>
              </w:rPr>
            </w:pPr>
            <w:r w:rsidRPr="0064187D">
              <w:rPr>
                <w:rFonts w:ascii="Times New Roman" w:hAnsi="Times New Roman"/>
                <w:sz w:val="28"/>
              </w:rPr>
              <w:t>7 13</w:t>
            </w:r>
            <w:r w:rsidR="0075205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64" w:type="pct"/>
            <w:vAlign w:val="center"/>
          </w:tcPr>
          <w:p w:rsidR="008B0D15" w:rsidRPr="0064187D" w:rsidRDefault="008B0D15" w:rsidP="00E8022B">
            <w:pPr>
              <w:jc w:val="center"/>
              <w:rPr>
                <w:rFonts w:ascii="Times New Roman" w:hAnsi="Times New Roman"/>
                <w:sz w:val="28"/>
              </w:rPr>
            </w:pPr>
            <w:r w:rsidRPr="0064187D">
              <w:rPr>
                <w:rFonts w:ascii="Times New Roman" w:hAnsi="Times New Roman"/>
                <w:sz w:val="28"/>
              </w:rPr>
              <w:t>7 452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B0D15" w:rsidRPr="0064187D" w:rsidRDefault="008B0D15" w:rsidP="00E8022B">
            <w:pPr>
              <w:jc w:val="center"/>
              <w:rPr>
                <w:rFonts w:ascii="Times New Roman" w:hAnsi="Times New Roman"/>
                <w:sz w:val="28"/>
              </w:rPr>
            </w:pPr>
            <w:r w:rsidRPr="0064187D">
              <w:rPr>
                <w:rFonts w:ascii="Times New Roman" w:hAnsi="Times New Roman"/>
                <w:sz w:val="28"/>
              </w:rPr>
              <w:t>7 750</w:t>
            </w:r>
          </w:p>
        </w:tc>
      </w:tr>
    </w:tbl>
    <w:p w:rsidR="008B0D15" w:rsidRPr="00821FBD" w:rsidRDefault="008B0D15" w:rsidP="008B0D15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26F" w:rsidRDefault="00792F8F" w:rsidP="0064187D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B0D15">
        <w:rPr>
          <w:rFonts w:ascii="Times New Roman" w:hAnsi="Times New Roman"/>
          <w:sz w:val="28"/>
          <w:szCs w:val="28"/>
        </w:rPr>
        <w:t xml:space="preserve">азмер </w:t>
      </w:r>
      <w:r w:rsidR="0064187D" w:rsidRPr="0064187D">
        <w:rPr>
          <w:rFonts w:ascii="Times New Roman" w:hAnsi="Times New Roman"/>
          <w:sz w:val="28"/>
          <w:szCs w:val="28"/>
        </w:rPr>
        <w:t>единовременно</w:t>
      </w:r>
      <w:r w:rsidR="008B0D15">
        <w:rPr>
          <w:rFonts w:ascii="Times New Roman" w:hAnsi="Times New Roman"/>
          <w:sz w:val="28"/>
          <w:szCs w:val="28"/>
        </w:rPr>
        <w:t xml:space="preserve">й денежной выплаты </w:t>
      </w:r>
      <w:r w:rsidR="0064187D" w:rsidRPr="0064187D">
        <w:rPr>
          <w:rFonts w:ascii="Times New Roman" w:hAnsi="Times New Roman"/>
          <w:sz w:val="28"/>
          <w:szCs w:val="28"/>
        </w:rPr>
        <w:t xml:space="preserve">при рождении ребенка </w:t>
      </w:r>
      <w:r w:rsidR="0064187D">
        <w:rPr>
          <w:rFonts w:ascii="Times New Roman" w:hAnsi="Times New Roman"/>
          <w:sz w:val="28"/>
          <w:szCs w:val="28"/>
        </w:rPr>
        <w:t xml:space="preserve">за счет средств бюджета муниципального района, </w:t>
      </w:r>
      <w:r w:rsidR="0064187D" w:rsidRPr="0064187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64187D" w:rsidRPr="0064187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4187D" w:rsidRPr="0064187D">
        <w:rPr>
          <w:rFonts w:ascii="Times New Roman" w:hAnsi="Times New Roman"/>
          <w:sz w:val="28"/>
          <w:szCs w:val="28"/>
        </w:rPr>
        <w:t xml:space="preserve"> района от 14 января 2016 года № 10 "О назначении и выплате разовой материальной помощи при рождении ребенка жителям </w:t>
      </w:r>
      <w:proofErr w:type="spellStart"/>
      <w:r w:rsidR="0064187D" w:rsidRPr="0064187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4187D" w:rsidRPr="0064187D">
        <w:rPr>
          <w:rFonts w:ascii="Times New Roman" w:hAnsi="Times New Roman"/>
          <w:sz w:val="28"/>
          <w:szCs w:val="28"/>
        </w:rPr>
        <w:t xml:space="preserve"> района"</w:t>
      </w:r>
      <w:r w:rsidR="0064187D">
        <w:rPr>
          <w:rFonts w:ascii="Times New Roman" w:hAnsi="Times New Roman"/>
          <w:sz w:val="28"/>
          <w:szCs w:val="28"/>
        </w:rPr>
        <w:t xml:space="preserve"> остается на уровне 2016 года:</w:t>
      </w:r>
    </w:p>
    <w:p w:rsidR="0064187D" w:rsidRDefault="0064187D" w:rsidP="0064187D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6140"/>
        <w:gridCol w:w="2239"/>
      </w:tblGrid>
      <w:tr w:rsidR="0064187D" w:rsidRPr="0064187D" w:rsidTr="0064187D">
        <w:trPr>
          <w:trHeight w:val="450"/>
        </w:trPr>
        <w:tc>
          <w:tcPr>
            <w:tcW w:w="6140" w:type="dxa"/>
            <w:shd w:val="clear" w:color="auto" w:fill="auto"/>
            <w:hideMark/>
          </w:tcPr>
          <w:p w:rsidR="0064187D" w:rsidRPr="0064187D" w:rsidRDefault="0064187D" w:rsidP="0064187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</w:pPr>
            <w:r w:rsidRPr="0064187D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  <w:t>при рождении первого ребенка</w:t>
            </w:r>
          </w:p>
        </w:tc>
        <w:tc>
          <w:tcPr>
            <w:tcW w:w="2239" w:type="dxa"/>
            <w:shd w:val="clear" w:color="auto" w:fill="auto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</w:pPr>
            <w:r w:rsidRPr="0064187D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  <w:t>1 000,0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  <w:t xml:space="preserve"> рублей</w:t>
            </w:r>
          </w:p>
        </w:tc>
      </w:tr>
      <w:tr w:rsidR="0064187D" w:rsidRPr="0064187D" w:rsidTr="0064187D">
        <w:trPr>
          <w:trHeight w:val="450"/>
        </w:trPr>
        <w:tc>
          <w:tcPr>
            <w:tcW w:w="6140" w:type="dxa"/>
            <w:shd w:val="clear" w:color="auto" w:fill="auto"/>
            <w:hideMark/>
          </w:tcPr>
          <w:p w:rsidR="0064187D" w:rsidRPr="0064187D" w:rsidRDefault="0064187D" w:rsidP="0064187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</w:pPr>
            <w:r w:rsidRPr="0064187D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  <w:t>при рождении третьего и последующих детей</w:t>
            </w:r>
          </w:p>
        </w:tc>
        <w:tc>
          <w:tcPr>
            <w:tcW w:w="2239" w:type="dxa"/>
            <w:shd w:val="clear" w:color="auto" w:fill="auto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</w:pPr>
            <w:r w:rsidRPr="0064187D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  <w:t>2 000,0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  <w:t xml:space="preserve"> рублей</w:t>
            </w:r>
          </w:p>
        </w:tc>
      </w:tr>
      <w:tr w:rsidR="0064187D" w:rsidRPr="0064187D" w:rsidTr="0064187D">
        <w:trPr>
          <w:trHeight w:val="450"/>
        </w:trPr>
        <w:tc>
          <w:tcPr>
            <w:tcW w:w="6140" w:type="dxa"/>
            <w:shd w:val="clear" w:color="auto" w:fill="auto"/>
            <w:hideMark/>
          </w:tcPr>
          <w:p w:rsidR="0064187D" w:rsidRPr="0064187D" w:rsidRDefault="0064187D" w:rsidP="0064187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</w:pPr>
            <w:r w:rsidRPr="0064187D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  <w:t>при рождении двух и более детей</w:t>
            </w:r>
          </w:p>
        </w:tc>
        <w:tc>
          <w:tcPr>
            <w:tcW w:w="2239" w:type="dxa"/>
            <w:shd w:val="clear" w:color="auto" w:fill="auto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</w:pPr>
            <w:r w:rsidRPr="0064187D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  <w:t>5 000,0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  <w:t xml:space="preserve"> рублей.</w:t>
            </w:r>
          </w:p>
        </w:tc>
      </w:tr>
    </w:tbl>
    <w:p w:rsidR="0064187D" w:rsidRDefault="0064187D" w:rsidP="0064187D">
      <w:pPr>
        <w:pStyle w:val="ConsNormal"/>
        <w:widowControl/>
        <w:spacing w:line="252" w:lineRule="auto"/>
        <w:ind w:firstLine="709"/>
        <w:jc w:val="both"/>
      </w:pPr>
    </w:p>
    <w:sectPr w:rsidR="0064187D" w:rsidSect="007A3EB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C3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4187D"/>
    <w:rsid w:val="00651442"/>
    <w:rsid w:val="00660D02"/>
    <w:rsid w:val="006851A5"/>
    <w:rsid w:val="006A2DA4"/>
    <w:rsid w:val="006A4B2F"/>
    <w:rsid w:val="006C22C3"/>
    <w:rsid w:val="006C47B2"/>
    <w:rsid w:val="00752057"/>
    <w:rsid w:val="00792F8F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B0D15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36FC3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0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2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0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2016-11-24T13:50:00Z</cp:lastPrinted>
  <dcterms:created xsi:type="dcterms:W3CDTF">2016-11-23T08:47:00Z</dcterms:created>
  <dcterms:modified xsi:type="dcterms:W3CDTF">2016-11-24T13:53:00Z</dcterms:modified>
</cp:coreProperties>
</file>