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7" w:rsidRPr="00AA623B" w:rsidRDefault="00AF4767" w:rsidP="00AF4767">
      <w:pPr>
        <w:pStyle w:val="af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AA623B">
        <w:rPr>
          <w:rFonts w:ascii="Times New Roman" w:hAnsi="Times New Roman"/>
          <w:sz w:val="28"/>
          <w:szCs w:val="28"/>
        </w:rPr>
        <w:t>РОССИЙСКАЯ  ФЕДЕРАЦИЯ</w:t>
      </w:r>
    </w:p>
    <w:p w:rsidR="005E0876" w:rsidRDefault="00AF4767" w:rsidP="00AF4767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>АДМИНИСТРАЦИЯ КЛЕТНЯНСКОГО РАЙОНА</w:t>
      </w:r>
    </w:p>
    <w:p w:rsidR="00AF4767" w:rsidRPr="00AA623B" w:rsidRDefault="00AF4767" w:rsidP="005E087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4767" w:rsidRPr="00AA623B" w:rsidRDefault="00AF4767" w:rsidP="00AF4767">
      <w:pPr>
        <w:pStyle w:val="1"/>
        <w:jc w:val="center"/>
        <w:rPr>
          <w:caps/>
          <w:spacing w:val="100"/>
          <w:sz w:val="28"/>
          <w:szCs w:val="28"/>
        </w:rPr>
      </w:pPr>
      <w:r w:rsidRPr="00AA623B">
        <w:rPr>
          <w:caps/>
          <w:spacing w:val="100"/>
          <w:sz w:val="28"/>
          <w:szCs w:val="28"/>
        </w:rPr>
        <w:t>ПОСТАНОВЛЕНИЕ</w:t>
      </w: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1F4FE0">
        <w:rPr>
          <w:rFonts w:ascii="Times New Roman" w:hAnsi="Times New Roman"/>
          <w:snapToGrid w:val="0"/>
          <w:sz w:val="28"/>
          <w:szCs w:val="28"/>
        </w:rPr>
        <w:t>30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декабря 2014г. № </w:t>
      </w:r>
      <w:r w:rsidR="001F4FE0">
        <w:rPr>
          <w:rFonts w:ascii="Times New Roman" w:hAnsi="Times New Roman"/>
          <w:snapToGrid w:val="0"/>
          <w:sz w:val="28"/>
          <w:szCs w:val="28"/>
        </w:rPr>
        <w:t>897</w:t>
      </w:r>
      <w:r w:rsidR="004435EF">
        <w:rPr>
          <w:rFonts w:ascii="Times New Roman" w:hAnsi="Times New Roman"/>
          <w:snapToGrid w:val="0"/>
          <w:sz w:val="28"/>
          <w:szCs w:val="28"/>
        </w:rPr>
        <w:t xml:space="preserve"> (с изм. от 17.04.15.№332/1</w:t>
      </w:r>
      <w:r w:rsidR="00A228CD">
        <w:rPr>
          <w:rFonts w:ascii="Times New Roman" w:hAnsi="Times New Roman"/>
          <w:snapToGrid w:val="0"/>
          <w:sz w:val="28"/>
          <w:szCs w:val="28"/>
        </w:rPr>
        <w:t>, от 19.</w:t>
      </w:r>
      <w:r w:rsidR="00D95C5C">
        <w:rPr>
          <w:rFonts w:ascii="Times New Roman" w:hAnsi="Times New Roman"/>
          <w:snapToGrid w:val="0"/>
          <w:sz w:val="28"/>
          <w:szCs w:val="28"/>
        </w:rPr>
        <w:t>06.15.№</w:t>
      </w:r>
      <w:r w:rsidR="00A228CD">
        <w:rPr>
          <w:rFonts w:ascii="Times New Roman" w:hAnsi="Times New Roman"/>
          <w:snapToGrid w:val="0"/>
          <w:sz w:val="28"/>
          <w:szCs w:val="28"/>
        </w:rPr>
        <w:t>522</w:t>
      </w:r>
      <w:r w:rsidR="002D2790">
        <w:rPr>
          <w:rFonts w:ascii="Times New Roman" w:hAnsi="Times New Roman"/>
          <w:snapToGrid w:val="0"/>
          <w:sz w:val="28"/>
          <w:szCs w:val="28"/>
        </w:rPr>
        <w:t>, от 22.10.15.№</w:t>
      </w:r>
      <w:r w:rsidR="006E0F6B">
        <w:rPr>
          <w:rFonts w:ascii="Times New Roman" w:hAnsi="Times New Roman"/>
          <w:snapToGrid w:val="0"/>
          <w:sz w:val="28"/>
          <w:szCs w:val="28"/>
        </w:rPr>
        <w:t>885</w:t>
      </w:r>
      <w:r w:rsidR="00FC210A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gramStart"/>
      <w:r w:rsidR="00FC210A">
        <w:rPr>
          <w:rFonts w:ascii="Times New Roman" w:hAnsi="Times New Roman"/>
          <w:snapToGrid w:val="0"/>
          <w:sz w:val="28"/>
          <w:szCs w:val="28"/>
        </w:rPr>
        <w:t>от</w:t>
      </w:r>
      <w:proofErr w:type="gramEnd"/>
      <w:r w:rsidR="00FC210A">
        <w:rPr>
          <w:rFonts w:ascii="Times New Roman" w:hAnsi="Times New Roman"/>
          <w:snapToGrid w:val="0"/>
          <w:sz w:val="28"/>
          <w:szCs w:val="28"/>
        </w:rPr>
        <w:t xml:space="preserve"> 31.1</w:t>
      </w:r>
      <w:r w:rsidR="00974954">
        <w:rPr>
          <w:rFonts w:ascii="Times New Roman" w:hAnsi="Times New Roman"/>
          <w:snapToGrid w:val="0"/>
          <w:sz w:val="28"/>
          <w:szCs w:val="28"/>
        </w:rPr>
        <w:t>2</w:t>
      </w:r>
      <w:r w:rsidR="00FC210A">
        <w:rPr>
          <w:rFonts w:ascii="Times New Roman" w:hAnsi="Times New Roman"/>
          <w:snapToGrid w:val="0"/>
          <w:sz w:val="28"/>
          <w:szCs w:val="28"/>
        </w:rPr>
        <w:t>.15.№1187</w:t>
      </w:r>
      <w:r w:rsidR="002D2790">
        <w:rPr>
          <w:rFonts w:ascii="Times New Roman" w:hAnsi="Times New Roman"/>
          <w:snapToGrid w:val="0"/>
          <w:sz w:val="28"/>
          <w:szCs w:val="28"/>
        </w:rPr>
        <w:t>)</w:t>
      </w:r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п. </w:t>
      </w:r>
      <w:proofErr w:type="spellStart"/>
      <w:r w:rsidRPr="00AA623B">
        <w:rPr>
          <w:rFonts w:ascii="Times New Roman" w:hAnsi="Times New Roman"/>
          <w:snapToGrid w:val="0"/>
          <w:sz w:val="28"/>
          <w:szCs w:val="28"/>
        </w:rPr>
        <w:t>Клетня</w:t>
      </w:r>
      <w:proofErr w:type="spellEnd"/>
    </w:p>
    <w:p w:rsidR="00AF4767" w:rsidRPr="00AA623B" w:rsidRDefault="00AF4767" w:rsidP="00AF4767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«Управление муниципальными финансами</w:t>
      </w:r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</w:p>
    <w:p w:rsidR="00AF4767" w:rsidRPr="00AA623B" w:rsidRDefault="00AF4767" w:rsidP="00AF4767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муниципальный район на 2015-</w:t>
      </w:r>
      <w:bookmarkStart w:id="1" w:name="_GoBack"/>
      <w:bookmarkEnd w:id="1"/>
      <w:r w:rsidRPr="00AA623B">
        <w:rPr>
          <w:rFonts w:ascii="Times New Roman" w:hAnsi="Times New Roman"/>
          <w:sz w:val="28"/>
          <w:szCs w:val="28"/>
        </w:rPr>
        <w:t>2017 годы»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от  30  сентября 2013 года № 662  "Об утверждении Порядка разработки, реализации и оценки эффективности муниципальных программ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 xml:space="preserve">го района", 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1. Утвердить прилагаемую </w:t>
      </w:r>
      <w:hyperlink w:anchor="Par31" w:history="1">
        <w:r w:rsidRPr="00AA623B">
          <w:rPr>
            <w:rFonts w:ascii="Times New Roman" w:hAnsi="Times New Roman"/>
            <w:sz w:val="28"/>
            <w:szCs w:val="28"/>
          </w:rPr>
          <w:t>муниципальную программу</w:t>
        </w:r>
      </w:hyperlink>
      <w:r w:rsidRPr="00AA623B">
        <w:rPr>
          <w:rFonts w:ascii="Times New Roman" w:hAnsi="Times New Roman"/>
          <w:sz w:val="28"/>
          <w:szCs w:val="28"/>
        </w:rPr>
        <w:t xml:space="preserve"> "Управление мун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>пальный район на 2015-2017 годы".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2. Признать утратившими силу с 1 января 201</w:t>
      </w:r>
      <w:r w:rsidR="00C94EA5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 года постановления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района:</w:t>
      </w:r>
    </w:p>
    <w:p w:rsidR="00A9116E" w:rsidRPr="00AA623B" w:rsidRDefault="00A9116E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декабря 2013 года №907 </w:t>
      </w:r>
      <w:r w:rsidRPr="00AA623B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A623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A623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623B">
        <w:rPr>
          <w:rFonts w:ascii="Times New Roman" w:hAnsi="Times New Roman"/>
          <w:sz w:val="28"/>
          <w:szCs w:val="28"/>
        </w:rPr>
        <w:t xml:space="preserve">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</w:t>
      </w:r>
      <w:r w:rsidRPr="00AA623B">
        <w:rPr>
          <w:rFonts w:ascii="Times New Roman" w:hAnsi="Times New Roman"/>
          <w:sz w:val="28"/>
          <w:szCs w:val="28"/>
        </w:rPr>
        <w:t>т</w:t>
      </w:r>
      <w:r w:rsidRPr="00AA623B">
        <w:rPr>
          <w:rFonts w:ascii="Times New Roman" w:hAnsi="Times New Roman"/>
          <w:sz w:val="28"/>
          <w:szCs w:val="28"/>
        </w:rPr>
        <w:t>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28 февраля 2014года  №110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26 мая 2014года  №308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AF4767" w:rsidRPr="00AA623B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>от  30 июля 2014года  №453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годы»;</w:t>
      </w:r>
    </w:p>
    <w:p w:rsidR="00F03077" w:rsidRDefault="00AF476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lastRenderedPageBreak/>
        <w:t>от  5 ноября 2014года  №689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</w:t>
      </w:r>
      <w:r w:rsidRPr="00AA623B">
        <w:rPr>
          <w:rFonts w:ascii="Times New Roman" w:hAnsi="Times New Roman"/>
          <w:sz w:val="28"/>
          <w:szCs w:val="28"/>
        </w:rPr>
        <w:t>о</w:t>
      </w:r>
      <w:r w:rsidRPr="00AA623B">
        <w:rPr>
          <w:rFonts w:ascii="Times New Roman" w:hAnsi="Times New Roman"/>
          <w:sz w:val="28"/>
          <w:szCs w:val="28"/>
        </w:rPr>
        <w:t>грамму «Управление муниципальными финансами муниципального образования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F03077">
        <w:rPr>
          <w:rFonts w:ascii="Times New Roman" w:hAnsi="Times New Roman"/>
          <w:sz w:val="28"/>
          <w:szCs w:val="28"/>
        </w:rPr>
        <w:t>;</w:t>
      </w:r>
    </w:p>
    <w:p w:rsidR="00F03077" w:rsidRDefault="00F03077" w:rsidP="00F0307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10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</w:t>
      </w:r>
      <w:r>
        <w:rPr>
          <w:rFonts w:ascii="Times New Roman" w:hAnsi="Times New Roman"/>
          <w:snapToGrid w:val="0"/>
          <w:sz w:val="28"/>
          <w:szCs w:val="28"/>
        </w:rPr>
        <w:t>05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AF4767" w:rsidRPr="00AA623B" w:rsidRDefault="00F03077" w:rsidP="00AF476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napToGrid w:val="0"/>
          <w:sz w:val="28"/>
          <w:szCs w:val="28"/>
        </w:rPr>
        <w:t xml:space="preserve">от  </w:t>
      </w:r>
      <w:r>
        <w:rPr>
          <w:rFonts w:ascii="Times New Roman" w:hAnsi="Times New Roman"/>
          <w:snapToGrid w:val="0"/>
          <w:sz w:val="28"/>
          <w:szCs w:val="28"/>
        </w:rPr>
        <w:t>29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дека</w:t>
      </w:r>
      <w:r w:rsidRPr="00AA623B">
        <w:rPr>
          <w:rFonts w:ascii="Times New Roman" w:hAnsi="Times New Roman"/>
          <w:snapToGrid w:val="0"/>
          <w:sz w:val="28"/>
          <w:szCs w:val="28"/>
        </w:rPr>
        <w:t>бря 2014года  №89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Pr="00AA623B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AA623B">
        <w:rPr>
          <w:rFonts w:ascii="Times New Roman" w:hAnsi="Times New Roman"/>
          <w:sz w:val="28"/>
          <w:szCs w:val="28"/>
        </w:rPr>
        <w:t>О внесении изменений в муниципальную программу «Управление муниципальными финансами муниципального образов</w:t>
      </w:r>
      <w:r w:rsidRPr="00AA623B">
        <w:rPr>
          <w:rFonts w:ascii="Times New Roman" w:hAnsi="Times New Roman"/>
          <w:sz w:val="28"/>
          <w:szCs w:val="28"/>
        </w:rPr>
        <w:t>а</w:t>
      </w:r>
      <w:r w:rsidRPr="00AA623B">
        <w:rPr>
          <w:rFonts w:ascii="Times New Roman" w:hAnsi="Times New Roman"/>
          <w:sz w:val="28"/>
          <w:szCs w:val="28"/>
        </w:rPr>
        <w:t>ния «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муниципальный район на  2014 - 2016 годы»</w:t>
      </w:r>
      <w:r w:rsidR="00C66053">
        <w:rPr>
          <w:rFonts w:ascii="Times New Roman" w:hAnsi="Times New Roman"/>
          <w:sz w:val="28"/>
          <w:szCs w:val="28"/>
        </w:rPr>
        <w:t>.</w:t>
      </w:r>
    </w:p>
    <w:p w:rsidR="00AF4767" w:rsidRDefault="00AF4767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</w:t>
      </w:r>
      <w:r w:rsidRPr="00AA623B">
        <w:rPr>
          <w:rFonts w:ascii="Times New Roman" w:hAnsi="Times New Roman"/>
          <w:sz w:val="28"/>
          <w:szCs w:val="28"/>
        </w:rPr>
        <w:t>и</w:t>
      </w:r>
      <w:r w:rsidRPr="00AA623B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P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C66053" w:rsidRPr="00A9116E" w:rsidRDefault="00C66053" w:rsidP="00AF476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9116E">
        <w:rPr>
          <w:rFonts w:ascii="Times New Roman" w:hAnsi="Times New Roman"/>
          <w:sz w:val="28"/>
          <w:szCs w:val="28"/>
        </w:rPr>
        <w:t>4. Постановление вступает в силу с 1 января 2015 года.</w:t>
      </w:r>
    </w:p>
    <w:p w:rsidR="00AF4767" w:rsidRPr="00AA623B" w:rsidRDefault="00AF4767" w:rsidP="00AF4767">
      <w:pPr>
        <w:pStyle w:val="ConsNonformat"/>
        <w:tabs>
          <w:tab w:val="left" w:pos="5529"/>
        </w:tabs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A623B">
        <w:rPr>
          <w:rFonts w:ascii="Times New Roman" w:hAnsi="Times New Roman"/>
          <w:sz w:val="28"/>
          <w:szCs w:val="28"/>
        </w:rPr>
        <w:t xml:space="preserve">        </w:t>
      </w:r>
      <w:r w:rsidR="00C66053">
        <w:rPr>
          <w:rFonts w:ascii="Times New Roman" w:hAnsi="Times New Roman"/>
          <w:sz w:val="28"/>
          <w:szCs w:val="28"/>
        </w:rPr>
        <w:t>5</w:t>
      </w:r>
      <w:r w:rsidRPr="00AA62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6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23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AA623B">
        <w:rPr>
          <w:rFonts w:ascii="Times New Roman" w:hAnsi="Times New Roman"/>
          <w:sz w:val="28"/>
          <w:szCs w:val="28"/>
        </w:rPr>
        <w:t>Кортелеву</w:t>
      </w:r>
      <w:proofErr w:type="spellEnd"/>
      <w:r w:rsidRPr="00AA623B">
        <w:rPr>
          <w:rFonts w:ascii="Times New Roman" w:hAnsi="Times New Roman"/>
          <w:sz w:val="28"/>
          <w:szCs w:val="28"/>
        </w:rPr>
        <w:t xml:space="preserve"> В.Н.</w:t>
      </w: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r w:rsidRPr="00AA623B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</w:t>
      </w:r>
      <w:r w:rsidRPr="00AA623B">
        <w:rPr>
          <w:rFonts w:ascii="Times New Roman" w:hAnsi="Times New Roman"/>
          <w:b/>
          <w:sz w:val="28"/>
          <w:szCs w:val="28"/>
        </w:rPr>
        <w:tab/>
      </w:r>
    </w:p>
    <w:p w:rsidR="00AF4767" w:rsidRPr="00AA623B" w:rsidRDefault="00AF4767" w:rsidP="00AF4767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AA623B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A623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 w:rsidRPr="00AA623B">
        <w:rPr>
          <w:rFonts w:ascii="Times New Roman" w:hAnsi="Times New Roman"/>
          <w:b/>
          <w:sz w:val="28"/>
          <w:szCs w:val="28"/>
        </w:rPr>
        <w:t>А.</w:t>
      </w:r>
      <w:r w:rsidR="00AA623B" w:rsidRPr="00AA623B">
        <w:rPr>
          <w:rFonts w:ascii="Times New Roman" w:hAnsi="Times New Roman"/>
          <w:b/>
          <w:sz w:val="28"/>
          <w:szCs w:val="28"/>
        </w:rPr>
        <w:t>А.Лось</w:t>
      </w:r>
      <w:proofErr w:type="spellEnd"/>
    </w:p>
    <w:p w:rsidR="00AF4767" w:rsidRPr="00AA623B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974954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Исп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урашина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И.В.</w:t>
      </w:r>
    </w:p>
    <w:p w:rsidR="00974954" w:rsidRDefault="00974954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Тел.9 18 31</w:t>
      </w: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00A" w:rsidRPr="00AF4767" w:rsidRDefault="00B2600A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P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767" w:rsidRDefault="00AF4767" w:rsidP="00AF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954" w:rsidRDefault="00974954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23B" w:rsidRDefault="00AA623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95C5C">
        <w:rPr>
          <w:rFonts w:ascii="Times New Roman" w:eastAsia="Times New Roman" w:hAnsi="Times New Roman"/>
          <w:sz w:val="28"/>
          <w:szCs w:val="28"/>
          <w:lang w:eastAsia="ru-RU"/>
        </w:rPr>
        <w:t>30.12.14.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95C5C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2"/>
      <w:bookmarkEnd w:id="2"/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6D563F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C660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2015-2017 годы</w:t>
      </w: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B9B" w:rsidRPr="00770978" w:rsidRDefault="000E5B9B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41"/>
      <w:bookmarkEnd w:id="3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E5B9B" w:rsidRPr="00770978" w:rsidRDefault="006D563F" w:rsidP="000E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0E5B9B"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0E5B9B" w:rsidRDefault="000E5B9B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муниципального образования "</w:t>
      </w:r>
      <w:proofErr w:type="spellStart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Кле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>нянский</w:t>
      </w:r>
      <w:proofErr w:type="spellEnd"/>
      <w:r w:rsidR="006D563F"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на 2015-2017 годы</w:t>
      </w:r>
    </w:p>
    <w:p w:rsidR="006D563F" w:rsidRPr="00770978" w:rsidRDefault="006D563F" w:rsidP="006D5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Par354"/>
            <w:bookmarkEnd w:id="4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0E5B9B" w:rsidRPr="00770978" w:rsidRDefault="006D563F" w:rsidP="005814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2015-2017 годы</w:t>
            </w:r>
          </w:p>
        </w:tc>
      </w:tr>
      <w:tr w:rsidR="000E5B9B" w:rsidRPr="00770978" w:rsidTr="000E5B9B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и устойчивости бюджетной системы,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вышение качества управления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9B" w:rsidRPr="00770978" w:rsidTr="002850EC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 w:rsidR="006D563F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6D563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2471F7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0E5B9B" w:rsidRPr="00770978" w:rsidRDefault="002471F7" w:rsidP="002471F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нансами.</w:t>
            </w:r>
          </w:p>
        </w:tc>
      </w:tr>
      <w:tr w:rsidR="000E5B9B" w:rsidRPr="00770978" w:rsidTr="00111272">
        <w:trPr>
          <w:trHeight w:val="400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0E5B9B" w:rsidRPr="00770978" w:rsidRDefault="006D563F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0E5B9B" w:rsidRPr="00770978" w:rsidRDefault="00111272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6D563F"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D563F">
              <w:rPr>
                <w:rFonts w:ascii="Times New Roman" w:hAnsi="Times New Roman"/>
                <w:sz w:val="28"/>
                <w:szCs w:val="28"/>
              </w:rPr>
              <w:t>17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0E5B9B" w:rsidRPr="00770978" w:rsidTr="00443D3C">
        <w:trPr>
          <w:trHeight w:val="694"/>
          <w:tblCellSpacing w:w="5" w:type="nil"/>
        </w:trPr>
        <w:tc>
          <w:tcPr>
            <w:tcW w:w="2188" w:type="pct"/>
          </w:tcPr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Объ</w:t>
            </w:r>
            <w:r w:rsidR="00D93D3C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бюджетных ассигнований на реализацию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3D1783" w:rsidRPr="00770978">
              <w:rPr>
                <w:rFonts w:ascii="Times New Roman" w:hAnsi="Times New Roman"/>
                <w:sz w:val="28"/>
                <w:szCs w:val="28"/>
              </w:rPr>
              <w:t>ё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 средств, </w:t>
            </w:r>
          </w:p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9F0D4F" w:rsidRPr="00770978" w:rsidRDefault="0035053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</w:t>
            </w:r>
            <w:r w:rsidR="005814AA" w:rsidRPr="00770978">
              <w:rPr>
                <w:rFonts w:ascii="Times New Roman" w:hAnsi="Times New Roman"/>
                <w:sz w:val="28"/>
                <w:szCs w:val="28"/>
              </w:rPr>
              <w:t>-</w:t>
            </w:r>
            <w:r w:rsidR="000E5B9B"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B9B" w:rsidRPr="008A21B6" w:rsidRDefault="00A228CD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  <w:r w:rsidR="00FC210A">
              <w:rPr>
                <w:rFonts w:ascii="Times New Roman" w:eastAsiaTheme="minorHAnsi" w:hAnsi="Times New Roman"/>
                <w:sz w:val="28"/>
                <w:szCs w:val="28"/>
              </w:rPr>
              <w:t> 826 923,25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DF7947" w:rsidRPr="008A21B6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0E5B9B" w:rsidRPr="008A21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6214F" w:rsidRPr="00770978" w:rsidRDefault="009F0D4F" w:rsidP="00FC210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2015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C210A">
              <w:rPr>
                <w:rFonts w:ascii="Times New Roman" w:eastAsiaTheme="minorHAnsi" w:hAnsi="Times New Roman"/>
                <w:sz w:val="28"/>
                <w:szCs w:val="28"/>
              </w:rPr>
              <w:t>21 350 957,25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</w:t>
            </w:r>
            <w:r w:rsidR="00FC210A">
              <w:rPr>
                <w:rFonts w:ascii="Times New Roman" w:eastAsiaTheme="minorHAnsi" w:hAnsi="Times New Roman"/>
                <w:sz w:val="28"/>
                <w:szCs w:val="28"/>
              </w:rPr>
              <w:t>ей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>2016 год –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22 033 399</w:t>
            </w:r>
            <w:r w:rsidR="00D72A32" w:rsidRPr="008A21B6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</w:t>
            </w:r>
            <w:r w:rsidR="00DF7947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2017 год – </w:t>
            </w:r>
            <w:r w:rsidR="004435EF">
              <w:rPr>
                <w:rFonts w:ascii="Times New Roman" w:eastAsiaTheme="minorHAnsi" w:hAnsi="Times New Roman"/>
                <w:sz w:val="28"/>
                <w:szCs w:val="28"/>
              </w:rPr>
              <w:t>18 442 567</w:t>
            </w:r>
            <w:r w:rsidR="002D50FA" w:rsidRPr="008A21B6">
              <w:rPr>
                <w:rFonts w:ascii="Times New Roman" w:eastAsiaTheme="minorHAnsi" w:hAnsi="Times New Roman"/>
                <w:sz w:val="28"/>
                <w:szCs w:val="28"/>
              </w:rPr>
              <w:t>,00 рубля</w:t>
            </w:r>
          </w:p>
        </w:tc>
      </w:tr>
      <w:tr w:rsidR="000E5B9B" w:rsidRPr="00770978" w:rsidTr="00443D3C">
        <w:trPr>
          <w:trHeight w:val="1828"/>
          <w:tblCellSpacing w:w="5" w:type="nil"/>
        </w:trPr>
        <w:tc>
          <w:tcPr>
            <w:tcW w:w="2188" w:type="pct"/>
          </w:tcPr>
          <w:p w:rsidR="000E5B9B" w:rsidRPr="00770978" w:rsidRDefault="000E5B9B" w:rsidP="003B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0E5B9B" w:rsidRPr="00770978" w:rsidRDefault="000E5B9B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="00A72C70"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0E5B9B" w:rsidRPr="00770978" w:rsidRDefault="00C12131" w:rsidP="006D56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</w:t>
            </w:r>
            <w:r w:rsidR="006D563F">
              <w:rPr>
                <w:rFonts w:ascii="Times New Roman" w:hAnsi="Times New Roman"/>
                <w:sz w:val="28"/>
                <w:szCs w:val="28"/>
              </w:rPr>
              <w:t>у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 w:rsidR="006D563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0E5B9B" w:rsidRPr="00770978" w:rsidRDefault="000E5B9B" w:rsidP="0011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411"/>
      <w:bookmarkEnd w:id="5"/>
    </w:p>
    <w:p w:rsidR="003B24A5" w:rsidRPr="00770978" w:rsidRDefault="003B24A5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2471F7" w:rsidRPr="00770978" w:rsidRDefault="006D563F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2011 </w:t>
      </w:r>
      <w:r w:rsidR="006D563F">
        <w:rPr>
          <w:rFonts w:ascii="Times New Roman" w:hAnsi="Times New Roman"/>
          <w:sz w:val="28"/>
          <w:szCs w:val="28"/>
        </w:rPr>
        <w:t>- 2013 годы в сфере управления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</w:t>
      </w:r>
      <w:r w:rsidR="006D563F">
        <w:rPr>
          <w:rFonts w:ascii="Times New Roman" w:hAnsi="Times New Roman"/>
          <w:sz w:val="28"/>
          <w:szCs w:val="28"/>
        </w:rPr>
        <w:t>т</w:t>
      </w:r>
      <w:r w:rsidR="006D563F">
        <w:rPr>
          <w:rFonts w:ascii="Times New Roman" w:hAnsi="Times New Roman"/>
          <w:sz w:val="28"/>
          <w:szCs w:val="28"/>
        </w:rPr>
        <w:t>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 w:rsidR="006D563F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 w:rsidR="006D563F"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 w:rsidR="006D563F">
        <w:rPr>
          <w:rFonts w:ascii="Times New Roman" w:hAnsi="Times New Roman"/>
          <w:sz w:val="28"/>
          <w:szCs w:val="28"/>
        </w:rPr>
        <w:t>муниц</w:t>
      </w:r>
      <w:r w:rsidR="006D563F">
        <w:rPr>
          <w:rFonts w:ascii="Times New Roman" w:hAnsi="Times New Roman"/>
          <w:sz w:val="28"/>
          <w:szCs w:val="28"/>
        </w:rPr>
        <w:t>и</w:t>
      </w:r>
      <w:r w:rsidR="006D563F"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 w:rsidR="006D563F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 w:rsidR="006D563F">
        <w:rPr>
          <w:rFonts w:ascii="Times New Roman" w:hAnsi="Times New Roman"/>
          <w:sz w:val="28"/>
          <w:szCs w:val="28"/>
        </w:rPr>
        <w:t>м</w:t>
      </w:r>
      <w:r w:rsidR="006D563F">
        <w:rPr>
          <w:rFonts w:ascii="Times New Roman" w:hAnsi="Times New Roman"/>
          <w:sz w:val="28"/>
          <w:szCs w:val="28"/>
        </w:rPr>
        <w:t>у</w:t>
      </w:r>
      <w:r w:rsidR="006D563F"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 w:rsidR="006D563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D563F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 w:rsidR="00B223C0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 w:rsidR="00B223C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2471F7" w:rsidRPr="00BF1C85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 w:rsidR="00C21B45"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="002471F7" w:rsidRPr="00BF1C85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 w:rsidR="00B223C0"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 w:rsidR="00B223C0">
        <w:rPr>
          <w:rFonts w:ascii="Times New Roman" w:hAnsi="Times New Roman"/>
          <w:sz w:val="28"/>
          <w:szCs w:val="28"/>
        </w:rPr>
        <w:t>местного сам</w:t>
      </w:r>
      <w:r w:rsidR="00B223C0">
        <w:rPr>
          <w:rFonts w:ascii="Times New Roman" w:hAnsi="Times New Roman"/>
          <w:sz w:val="28"/>
          <w:szCs w:val="28"/>
        </w:rPr>
        <w:t>о</w:t>
      </w:r>
      <w:r w:rsidR="00B223C0"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Финансово-экономическое планирование результатов, осуществляемое в настоящее время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преимущественно в рамках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 w:rsidR="00B223C0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2471F7" w:rsidRPr="00770978" w:rsidRDefault="002471F7" w:rsidP="00F44F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F44FA0" w:rsidRPr="00F44FA0" w:rsidRDefault="00F44FA0" w:rsidP="00F44F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 w:rsidR="00C21B45"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 w:rsidR="00B223C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223C0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 w:rsidR="001C3545"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 w:rsidR="001C3545"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 w:rsidR="00224C9D"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 w:rsidR="00224C9D"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 xml:space="preserve">действующая система оплаты труда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71F7"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="002471F7" w:rsidRPr="00770978">
        <w:rPr>
          <w:rFonts w:ascii="Times New Roman" w:hAnsi="Times New Roman"/>
          <w:sz w:val="28"/>
          <w:szCs w:val="28"/>
        </w:rPr>
        <w:t>е</w:t>
      </w:r>
      <w:r w:rsidR="002471F7"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 w:rsidR="00541EEB"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 w:rsidR="00541EEB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</w:t>
      </w:r>
      <w:r w:rsidR="00541EEB">
        <w:rPr>
          <w:rFonts w:ascii="Times New Roman" w:hAnsi="Times New Roman"/>
          <w:sz w:val="28"/>
          <w:szCs w:val="28"/>
        </w:rPr>
        <w:t>н</w:t>
      </w:r>
      <w:r w:rsidR="00541EEB">
        <w:rPr>
          <w:rFonts w:ascii="Times New Roman" w:hAnsi="Times New Roman"/>
          <w:sz w:val="28"/>
          <w:szCs w:val="28"/>
        </w:rPr>
        <w:t>ском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"Кейсистемс"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 w:rsidR="00224C9D"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2471F7" w:rsidRPr="00770978" w:rsidRDefault="00541EE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71F7"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="002471F7" w:rsidRPr="00770978">
        <w:rPr>
          <w:rFonts w:ascii="Times New Roman" w:hAnsi="Times New Roman"/>
          <w:sz w:val="28"/>
          <w:szCs w:val="28"/>
        </w:rPr>
        <w:t>н</w:t>
      </w:r>
      <w:r w:rsidR="002471F7"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="002471F7"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471F7" w:rsidRPr="00770978">
        <w:rPr>
          <w:rFonts w:ascii="Times New Roman" w:hAnsi="Times New Roman"/>
          <w:sz w:val="28"/>
          <w:szCs w:val="28"/>
        </w:rPr>
        <w:t xml:space="preserve"> </w:t>
      </w:r>
      <w:r w:rsidR="00224C9D">
        <w:rPr>
          <w:rFonts w:ascii="Times New Roman" w:hAnsi="Times New Roman"/>
          <w:sz w:val="28"/>
          <w:szCs w:val="28"/>
        </w:rPr>
        <w:t>сферой</w:t>
      </w:r>
      <w:r w:rsidR="002471F7"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 w:rsidR="00224C9D"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 w:rsidR="00224C9D"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80"/>
      <w:bookmarkEnd w:id="6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состоит в повышении уровня и качества жизни </w:t>
      </w:r>
      <w:r w:rsidRPr="00770978">
        <w:rPr>
          <w:rFonts w:ascii="Times New Roman" w:hAnsi="Times New Roman"/>
          <w:sz w:val="28"/>
          <w:szCs w:val="28"/>
        </w:rPr>
        <w:lastRenderedPageBreak/>
        <w:t>населения.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 w:rsidR="00541EEB"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 w:rsidR="00541EE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41EEB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Целью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является 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 w:rsidR="00224C9D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224C9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224C9D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 w:rsidR="00613F91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="00613F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F91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 w:rsidR="00BF1C85"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BF1C8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BF1C85">
        <w:rPr>
          <w:rFonts w:ascii="Times New Roman" w:hAnsi="Times New Roman"/>
          <w:sz w:val="28"/>
          <w:szCs w:val="28"/>
        </w:rPr>
        <w:t xml:space="preserve"> ра</w:t>
      </w:r>
      <w:r w:rsidR="00BF1C85">
        <w:rPr>
          <w:rFonts w:ascii="Times New Roman" w:hAnsi="Times New Roman"/>
          <w:sz w:val="28"/>
          <w:szCs w:val="28"/>
        </w:rPr>
        <w:t>й</w:t>
      </w:r>
      <w:r w:rsidR="00BF1C85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0"/>
      <w:bookmarkEnd w:id="7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BF1C85"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BF1C85">
        <w:rPr>
          <w:rFonts w:ascii="Times New Roman" w:hAnsi="Times New Roman"/>
          <w:sz w:val="28"/>
          <w:szCs w:val="28"/>
        </w:rPr>
        <w:t>17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14"/>
      <w:bookmarkEnd w:id="8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Общий объём средств, предусмотренных на реализацию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граммы, </w:t>
      </w:r>
      <w:r w:rsidRPr="00443D3C">
        <w:rPr>
          <w:rFonts w:ascii="Times New Roman" w:hAnsi="Times New Roman"/>
          <w:sz w:val="28"/>
          <w:szCs w:val="28"/>
        </w:rPr>
        <w:t xml:space="preserve">- </w:t>
      </w:r>
      <w:r w:rsidR="00FC210A">
        <w:rPr>
          <w:rFonts w:ascii="Times New Roman" w:hAnsi="Times New Roman"/>
          <w:sz w:val="28"/>
          <w:szCs w:val="28"/>
        </w:rPr>
        <w:t>61 826 923,25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 w:rsidR="00FC210A">
        <w:rPr>
          <w:rFonts w:ascii="Times New Roman" w:hAnsi="Times New Roman"/>
          <w:sz w:val="28"/>
          <w:szCs w:val="28"/>
        </w:rPr>
        <w:t>ей</w:t>
      </w:r>
      <w:r w:rsidRPr="00443D3C">
        <w:rPr>
          <w:rFonts w:ascii="Times New Roman" w:hAnsi="Times New Roman"/>
          <w:sz w:val="28"/>
          <w:szCs w:val="28"/>
        </w:rPr>
        <w:t xml:space="preserve">, в том числе: 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="00FC210A">
        <w:rPr>
          <w:rFonts w:ascii="Times New Roman" w:hAnsi="Times New Roman"/>
          <w:sz w:val="28"/>
          <w:szCs w:val="28"/>
        </w:rPr>
        <w:t>21 350 957,25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 w:rsidR="00FC210A">
        <w:rPr>
          <w:rFonts w:ascii="Times New Roman" w:hAnsi="Times New Roman"/>
          <w:sz w:val="28"/>
          <w:szCs w:val="28"/>
        </w:rPr>
        <w:t>ей</w:t>
      </w:r>
      <w:r w:rsidRPr="00443D3C">
        <w:rPr>
          <w:rFonts w:ascii="Times New Roman" w:hAnsi="Times New Roman"/>
          <w:sz w:val="28"/>
          <w:szCs w:val="28"/>
        </w:rPr>
        <w:t>;</w:t>
      </w:r>
    </w:p>
    <w:p w:rsidR="002D50FA" w:rsidRPr="00443D3C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2016 год – </w:t>
      </w:r>
      <w:r w:rsidR="004435EF">
        <w:rPr>
          <w:rFonts w:ascii="Times New Roman" w:hAnsi="Times New Roman"/>
          <w:sz w:val="28"/>
          <w:szCs w:val="28"/>
        </w:rPr>
        <w:t>22 033 399</w:t>
      </w:r>
      <w:r w:rsidRPr="00443D3C">
        <w:rPr>
          <w:rFonts w:ascii="Times New Roman" w:hAnsi="Times New Roman"/>
          <w:sz w:val="28"/>
          <w:szCs w:val="28"/>
        </w:rPr>
        <w:t>,00 рубл</w:t>
      </w:r>
      <w:r w:rsidR="00FC210A">
        <w:rPr>
          <w:rFonts w:ascii="Times New Roman" w:hAnsi="Times New Roman"/>
          <w:sz w:val="28"/>
          <w:szCs w:val="28"/>
        </w:rPr>
        <w:t>ей</w:t>
      </w:r>
      <w:r w:rsidRPr="00443D3C">
        <w:rPr>
          <w:rFonts w:ascii="Times New Roman" w:hAnsi="Times New Roman"/>
          <w:sz w:val="28"/>
          <w:szCs w:val="28"/>
        </w:rPr>
        <w:t>;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2017 год – </w:t>
      </w:r>
      <w:r w:rsidR="004435EF">
        <w:rPr>
          <w:rFonts w:ascii="Times New Roman" w:hAnsi="Times New Roman"/>
          <w:sz w:val="28"/>
          <w:szCs w:val="28"/>
        </w:rPr>
        <w:t>18 442 567</w:t>
      </w:r>
      <w:r w:rsidRPr="00443D3C">
        <w:rPr>
          <w:rFonts w:ascii="Times New Roman" w:hAnsi="Times New Roman"/>
          <w:sz w:val="28"/>
          <w:szCs w:val="28"/>
        </w:rPr>
        <w:t>,00 рубл</w:t>
      </w:r>
      <w:r w:rsidR="00FC210A">
        <w:rPr>
          <w:rFonts w:ascii="Times New Roman" w:hAnsi="Times New Roman"/>
          <w:sz w:val="28"/>
          <w:szCs w:val="28"/>
        </w:rPr>
        <w:t>ей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2471F7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.</w:t>
      </w:r>
    </w:p>
    <w:p w:rsidR="002D50FA" w:rsidRPr="00770978" w:rsidRDefault="002D50FA" w:rsidP="002D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25"/>
      <w:bookmarkEnd w:id="9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</w:p>
    <w:p w:rsidR="002471F7" w:rsidRPr="00770978" w:rsidRDefault="00BF1C85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F7" w:rsidRPr="00770978" w:rsidRDefault="002D3C5B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2471F7"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Описание</w:t>
        </w:r>
      </w:hyperlink>
      <w:r w:rsidR="002471F7" w:rsidRPr="00770978">
        <w:rPr>
          <w:rFonts w:ascii="Times New Roman" w:hAnsi="Times New Roman"/>
          <w:sz w:val="28"/>
          <w:szCs w:val="28"/>
        </w:rPr>
        <w:t xml:space="preserve"> мер правового регулирования, направленных на достижение целей и решение задач </w:t>
      </w:r>
      <w:r w:rsidR="00BF1C85">
        <w:rPr>
          <w:rFonts w:ascii="Times New Roman" w:hAnsi="Times New Roman"/>
          <w:sz w:val="28"/>
          <w:szCs w:val="28"/>
        </w:rPr>
        <w:t>муниципаль</w:t>
      </w:r>
      <w:r w:rsidR="002471F7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ar231"/>
      <w:bookmarkEnd w:id="10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2471F7" w:rsidRPr="00770978" w:rsidRDefault="002471F7" w:rsidP="00247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559"/>
        <w:gridCol w:w="3119"/>
      </w:tblGrid>
      <w:tr w:rsidR="002471F7" w:rsidRPr="00770978" w:rsidTr="007850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Par233"/>
            <w:bookmarkEnd w:id="11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тель, сои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2471F7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д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 w:rsidP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утверждение долг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срочной бюджетной стратегии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тивным правовым актом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а</w:t>
            </w:r>
            <w:r w:rsidR="00BF1C8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признание утратившим силу </w:t>
            </w:r>
            <w:hyperlink r:id="rId12" w:history="1">
              <w:r w:rsidRPr="0077097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Постановления</w:t>
              </w:r>
            </w:hyperlink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</w:t>
            </w:r>
            <w:r w:rsidR="00BF1C85">
              <w:rPr>
                <w:rFonts w:ascii="Times New Roman" w:hAnsi="Times New Roman"/>
                <w:sz w:val="28"/>
                <w:szCs w:val="28"/>
              </w:rPr>
              <w:t>т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26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BF1C85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 w:rsidR="00BF1C85">
              <w:rPr>
                <w:rFonts w:ascii="Times New Roman" w:hAnsi="Times New Roman"/>
                <w:sz w:val="28"/>
                <w:szCs w:val="28"/>
              </w:rPr>
              <w:t>562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долгосрочной бюджетной страт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  <w:proofErr w:type="spellStart"/>
            <w:r w:rsidR="00BF1C85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BF1C8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BF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1F7" w:rsidRPr="00770978" w:rsidRDefault="002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 трехмесячный срок после утверждения до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госрочной бюджетной стратегии Российской Федерации, далее - по мере необходимости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 2011 года N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жения о подготовке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тах и основных направлениях де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тельности главных распорядителей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бюджета" (актуал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зация порядка)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остано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555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Положения о подгото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ке докладов о результ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тах и основных напра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лениях деятельности главных распорядит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лей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народных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путатов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от 19.07.13г.№35-4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(с уч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том изменений от 20.08.14г.</w:t>
            </w:r>
            <w:r w:rsidR="00643F48"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643F48">
              <w:rPr>
                <w:rFonts w:ascii="Times New Roman" w:hAnsi="Times New Roman"/>
                <w:sz w:val="28"/>
                <w:szCs w:val="28"/>
              </w:rPr>
              <w:t xml:space="preserve">45-6)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б утверждении Полож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ления, рассмотрения и утверждения бюджета 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муниципального обр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а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зования «</w:t>
            </w:r>
            <w:proofErr w:type="spellStart"/>
            <w:r w:rsidR="00643F4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643F4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а также порядке пре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д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ставления, рассмотр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е</w:t>
            </w:r>
            <w:r w:rsidR="00643F48">
              <w:rPr>
                <w:rFonts w:ascii="Times New Roman" w:hAnsi="Times New Roman"/>
                <w:sz w:val="28"/>
                <w:szCs w:val="28"/>
              </w:rPr>
              <w:t>ния и утверждения о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т</w:t>
            </w:r>
            <w:r w:rsidR="00643F48">
              <w:rPr>
                <w:rFonts w:ascii="Times New Roman" w:hAnsi="Times New Roman"/>
                <w:sz w:val="28"/>
                <w:szCs w:val="28"/>
              </w:rPr>
              <w:t>четности об исполнении бюджета и его внешней проверке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изменений, учитывающих поправки федерального законод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тельства, в части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вершенствования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7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гнозиров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обязанн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сти представления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доклада о ходе реализации и об оценке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программ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850B3" w:rsidRPr="007850B3" w:rsidRDefault="007850B3" w:rsidP="007850B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850B3">
              <w:rPr>
                <w:rFonts w:ascii="Times New Roman" w:hAnsi="Times New Roman"/>
                <w:sz w:val="28"/>
                <w:szCs w:val="28"/>
              </w:rPr>
              <w:t>Приказ финансового управления админ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и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7850B3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850B3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850B3">
              <w:rPr>
                <w:rFonts w:ascii="Times New Roman" w:hAnsi="Times New Roman"/>
                <w:sz w:val="28"/>
                <w:szCs w:val="28"/>
              </w:rPr>
              <w:t>.12.13г.№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«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Об утверждении Ук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заний об установлении, детализации и опред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лении порядка прим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нения бюджетной кла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сификации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Российской Федерации в части, о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носящейся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 бюджету муниципального обр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зования «</w:t>
            </w:r>
            <w:proofErr w:type="spellStart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>Клетнянский</w:t>
            </w:r>
            <w:proofErr w:type="spellEnd"/>
            <w:r w:rsidRPr="007850B3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муниципальный район»</w:t>
            </w:r>
          </w:p>
          <w:p w:rsidR="00541EEB" w:rsidRPr="00770978" w:rsidRDefault="00541EEB" w:rsidP="006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EC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опр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делению нормати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затрат на оказ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зенными учрежд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ниями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ским и юридическим лицам (выполнение работ), а также но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мативных затрат на содержание имущ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зенных учреждений, недвижимого и ос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бо ценного движ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мого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бюдже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опред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лению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оказание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ными бюджетными и казенными учрежден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услуг физическим и юридическим лицам, а также нормативных з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трат на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особо ценного движимого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1EEB" w:rsidRPr="00770978" w:rsidTr="007850B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41EE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внесение изменений в Приказ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ы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полнением"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541EEB" w:rsidP="00A9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EEB" w:rsidRPr="00770978" w:rsidRDefault="007850B3" w:rsidP="0078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финансов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7 июн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"Об утвержд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методических 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комендаций по форм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рованию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ным учреждениям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тролю за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их выполнен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ем"</w:t>
            </w:r>
          </w:p>
        </w:tc>
      </w:tr>
    </w:tbl>
    <w:p w:rsidR="001E395A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F42F4" w:rsidRPr="00770978" w:rsidRDefault="001E395A" w:rsidP="00F1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План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ной программы представлен в приложении </w:t>
      </w:r>
      <w:r w:rsidR="00F951E3">
        <w:rPr>
          <w:rFonts w:ascii="Times New Roman" w:eastAsiaTheme="minorHAnsi" w:hAnsi="Times New Roman"/>
          <w:sz w:val="28"/>
          <w:szCs w:val="28"/>
        </w:rPr>
        <w:t>2</w:t>
      </w:r>
      <w:r w:rsidR="005F42F4" w:rsidRPr="00770978">
        <w:rPr>
          <w:rFonts w:ascii="Times New Roman" w:eastAsiaTheme="minorHAnsi" w:hAnsi="Times New Roman"/>
          <w:sz w:val="28"/>
          <w:szCs w:val="28"/>
        </w:rPr>
        <w:t xml:space="preserve"> к программе.</w:t>
      </w:r>
    </w:p>
    <w:p w:rsidR="00F115D5" w:rsidRPr="00770978" w:rsidRDefault="005F42F4" w:rsidP="0039419E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5F42F4" w:rsidRPr="00770978" w:rsidRDefault="0039419E" w:rsidP="002D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</w:t>
      </w:r>
      <w:r w:rsidR="00F10B04" w:rsidRPr="00770978">
        <w:rPr>
          <w:rFonts w:ascii="Times New Roman" w:hAnsi="Times New Roman"/>
          <w:sz w:val="28"/>
          <w:szCs w:val="28"/>
        </w:rPr>
        <w:t>1</w:t>
      </w:r>
      <w:r w:rsidRPr="00770978">
        <w:rPr>
          <w:rFonts w:ascii="Times New Roman" w:hAnsi="Times New Roman"/>
          <w:sz w:val="28"/>
          <w:szCs w:val="28"/>
        </w:rPr>
        <w:t xml:space="preserve"> к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C9649A" w:rsidRPr="00770978">
        <w:rPr>
          <w:rFonts w:ascii="Times New Roman" w:hAnsi="Times New Roman"/>
          <w:sz w:val="28"/>
          <w:szCs w:val="28"/>
        </w:rPr>
        <w:t xml:space="preserve">ной </w:t>
      </w:r>
      <w:r w:rsidR="002D50FA" w:rsidRPr="00770978">
        <w:rPr>
          <w:rFonts w:ascii="Times New Roman" w:hAnsi="Times New Roman"/>
          <w:sz w:val="28"/>
          <w:szCs w:val="28"/>
        </w:rPr>
        <w:t>программе.</w:t>
      </w:r>
    </w:p>
    <w:p w:rsidR="00174238" w:rsidRPr="00770978" w:rsidRDefault="00174238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F10B04" w:rsidRPr="00770978" w:rsidRDefault="00F10B04" w:rsidP="00174238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174238" w:rsidRDefault="00174238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5B7150" w:rsidRDefault="005B7150" w:rsidP="00DB5A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F115D5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F10B04" w:rsidRPr="00770978">
        <w:rPr>
          <w:rFonts w:ascii="Times New Roman" w:eastAsiaTheme="minorHAnsi" w:hAnsi="Times New Roman"/>
          <w:sz w:val="28"/>
          <w:szCs w:val="28"/>
        </w:rPr>
        <w:t>1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 w:rsidR="001E395A"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320B5B" w:rsidRPr="00770978" w:rsidRDefault="00320B5B" w:rsidP="00C57E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E395A" w:rsidRPr="00770978" w:rsidRDefault="006C7489" w:rsidP="001E39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</w:t>
      </w:r>
      <w:r w:rsidR="00880949" w:rsidRPr="00770978">
        <w:rPr>
          <w:rFonts w:ascii="Times New Roman" w:hAnsi="Times New Roman"/>
          <w:sz w:val="28"/>
          <w:szCs w:val="28"/>
        </w:rPr>
        <w:t xml:space="preserve">ведения о показателях (индикаторах) </w:t>
      </w:r>
      <w:r w:rsidR="001E395A">
        <w:rPr>
          <w:rFonts w:ascii="Times New Roman" w:hAnsi="Times New Roman"/>
          <w:sz w:val="28"/>
          <w:szCs w:val="28"/>
        </w:rPr>
        <w:t>муниципаль</w:t>
      </w:r>
      <w:r w:rsidR="00880949" w:rsidRPr="00770978">
        <w:rPr>
          <w:rFonts w:ascii="Times New Roman" w:hAnsi="Times New Roman"/>
          <w:sz w:val="28"/>
          <w:szCs w:val="28"/>
        </w:rPr>
        <w:t>ной программы</w:t>
      </w:r>
    </w:p>
    <w:p w:rsidR="00880949" w:rsidRPr="00770978" w:rsidRDefault="00880949" w:rsidP="00320B5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 w:rsidR="001E395A"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5B7BF3" w:rsidRDefault="005B7BF3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708"/>
        <w:gridCol w:w="709"/>
        <w:gridCol w:w="992"/>
        <w:gridCol w:w="992"/>
        <w:gridCol w:w="992"/>
        <w:gridCol w:w="993"/>
        <w:gridCol w:w="969"/>
        <w:gridCol w:w="1015"/>
      </w:tblGrid>
      <w:tr w:rsidR="009154D8" w:rsidRPr="009154D8" w:rsidTr="009154D8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(индикатора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2012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2014 год (оце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9154D8" w:rsidRPr="009154D8" w:rsidTr="009154D8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AB5B3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образов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район", формиру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в рамках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AA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9154D8" w:rsidRPr="009154D8" w:rsidTr="009154D8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нет информации о системе управления муниципальными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154D8" w:rsidRPr="009154D8" w:rsidTr="009154D8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 общему год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вому объему дох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безвозмездных п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</w:tr>
      <w:tr w:rsidR="009154D8" w:rsidRPr="009154D8" w:rsidTr="008A21B6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просроченной кредиторской 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долженности по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стоянию на конец отчётного периода в общем объеме 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рай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154D8" w:rsidRPr="009154D8" w:rsidTr="009154D8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объема налоговых и нен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логовых доходов бюджета муниц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района от первоначального плана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745461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4D8" w:rsidRPr="009154D8" w:rsidRDefault="009154D8" w:rsidP="0091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6E55CC" w:rsidRPr="00770978" w:rsidRDefault="006E55CC" w:rsidP="00285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6E55CC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23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AA623B">
        <w:rPr>
          <w:rFonts w:ascii="Times New Roman" w:hAnsi="Times New Roman"/>
          <w:sz w:val="28"/>
          <w:szCs w:val="28"/>
        </w:rPr>
        <w:t xml:space="preserve"> </w:t>
      </w:r>
      <w:r w:rsidR="00560A2C">
        <w:rPr>
          <w:rFonts w:ascii="Times New Roman" w:hAnsi="Times New Roman"/>
          <w:sz w:val="28"/>
          <w:szCs w:val="28"/>
        </w:rPr>
        <w:t>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990B5B7" wp14:editId="0F97F3E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A623B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 w:rsidR="00560A2C"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560A2C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5B7150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 xml:space="preserve">бюджета </w:t>
      </w:r>
      <w:r w:rsidR="00AA623B" w:rsidRPr="005B7150">
        <w:rPr>
          <w:rFonts w:ascii="Times New Roman" w:hAnsi="Times New Roman"/>
          <w:sz w:val="28"/>
          <w:szCs w:val="28"/>
        </w:rPr>
        <w:t>муниципального района</w:t>
      </w:r>
      <w:r w:rsidR="00560A2C" w:rsidRPr="005B7150">
        <w:rPr>
          <w:rFonts w:ascii="Times New Roman" w:hAnsi="Times New Roman"/>
          <w:sz w:val="28"/>
          <w:szCs w:val="28"/>
        </w:rPr>
        <w:t xml:space="preserve"> </w:t>
      </w:r>
      <w:r w:rsidRPr="005B7150">
        <w:rPr>
          <w:rFonts w:ascii="Times New Roman" w:hAnsi="Times New Roman"/>
          <w:sz w:val="28"/>
          <w:szCs w:val="28"/>
        </w:rPr>
        <w:t>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 xml:space="preserve">ся в составе отчета об исполнении бюджета на </w:t>
      </w:r>
      <w:r w:rsidR="00560A2C" w:rsidRPr="005B7150">
        <w:rPr>
          <w:rFonts w:ascii="Times New Roman" w:hAnsi="Times New Roman"/>
          <w:sz w:val="28"/>
          <w:szCs w:val="28"/>
        </w:rPr>
        <w:t>официальном сайте администр</w:t>
      </w:r>
      <w:r w:rsidR="00560A2C" w:rsidRPr="005B7150">
        <w:rPr>
          <w:rFonts w:ascii="Times New Roman" w:hAnsi="Times New Roman"/>
          <w:sz w:val="28"/>
          <w:szCs w:val="28"/>
        </w:rPr>
        <w:t>а</w:t>
      </w:r>
      <w:r w:rsidR="00560A2C"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Pr="005B7150">
        <w:rPr>
          <w:rFonts w:ascii="Times New Roman" w:hAnsi="Times New Roman"/>
          <w:sz w:val="28"/>
          <w:szCs w:val="28"/>
        </w:rPr>
        <w:t xml:space="preserve"> (http://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="00560A2C" w:rsidRPr="005B7150">
        <w:rPr>
          <w:rFonts w:ascii="Times New Roman" w:hAnsi="Times New Roman"/>
          <w:sz w:val="28"/>
          <w:szCs w:val="28"/>
        </w:rPr>
        <w:t>)</w:t>
      </w:r>
      <w:r w:rsidRPr="005B7150">
        <w:rPr>
          <w:rFonts w:ascii="Times New Roman" w:hAnsi="Times New Roman"/>
          <w:sz w:val="28"/>
          <w:szCs w:val="28"/>
        </w:rPr>
        <w:t>.</w:t>
      </w:r>
    </w:p>
    <w:p w:rsidR="00560A2C" w:rsidRPr="005B7150" w:rsidRDefault="00560A2C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</w:t>
      </w:r>
      <w:r w:rsidR="00560A2C" w:rsidRPr="005B7150">
        <w:rPr>
          <w:rFonts w:ascii="Times New Roman" w:hAnsi="Times New Roman"/>
          <w:sz w:val="28"/>
          <w:szCs w:val="28"/>
        </w:rPr>
        <w:t>муниципаль</w:t>
      </w:r>
      <w:r w:rsidRPr="005B7150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</w:t>
      </w:r>
      <w:r w:rsidR="00560A2C">
        <w:rPr>
          <w:rFonts w:ascii="Times New Roman" w:hAnsi="Times New Roman"/>
          <w:sz w:val="28"/>
          <w:szCs w:val="28"/>
        </w:rPr>
        <w:t>й</w:t>
      </w:r>
      <w:r w:rsidR="00560A2C"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37527F5" wp14:editId="508AB493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560A2C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 w:rsidR="00560A2C"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 w:rsidR="00560A2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 w:rsidR="00560A2C"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</w:t>
      </w:r>
      <w:r w:rsidR="00560A2C" w:rsidRPr="00443D3C">
        <w:rPr>
          <w:rFonts w:ascii="Times New Roman" w:hAnsi="Times New Roman"/>
          <w:sz w:val="28"/>
          <w:szCs w:val="28"/>
        </w:rPr>
        <w:t>муниципаль</w:t>
      </w:r>
      <w:r w:rsidRPr="00443D3C">
        <w:rPr>
          <w:rFonts w:ascii="Times New Roman" w:hAnsi="Times New Roman"/>
          <w:sz w:val="28"/>
          <w:szCs w:val="28"/>
        </w:rPr>
        <w:t>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="00560A2C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60A2C" w:rsidRPr="00443D3C">
        <w:rPr>
          <w:rFonts w:ascii="Times New Roman" w:hAnsi="Times New Roman"/>
          <w:sz w:val="28"/>
          <w:szCs w:val="28"/>
        </w:rPr>
        <w:t xml:space="preserve"> района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</w:t>
      </w:r>
      <w:r w:rsidR="00745461" w:rsidRPr="00443D3C">
        <w:rPr>
          <w:rFonts w:ascii="Times New Roman" w:hAnsi="Times New Roman"/>
          <w:sz w:val="28"/>
          <w:szCs w:val="28"/>
        </w:rPr>
        <w:t>т</w:t>
      </w:r>
      <w:r w:rsidR="00745461"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0F2A8D" w:rsidRPr="00443D3C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</w:t>
      </w:r>
      <w:r w:rsidR="00745461" w:rsidRPr="00443D3C">
        <w:rPr>
          <w:rFonts w:ascii="Times New Roman" w:hAnsi="Times New Roman"/>
          <w:sz w:val="28"/>
          <w:szCs w:val="28"/>
        </w:rPr>
        <w:t>на официальном сайте адм</w:t>
      </w:r>
      <w:r w:rsidR="00745461" w:rsidRPr="00443D3C">
        <w:rPr>
          <w:rFonts w:ascii="Times New Roman" w:hAnsi="Times New Roman"/>
          <w:sz w:val="28"/>
          <w:szCs w:val="28"/>
        </w:rPr>
        <w:t>и</w:t>
      </w:r>
      <w:r w:rsidR="00745461"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FD5CD1" w:rsidRPr="00443D3C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</w:t>
      </w:r>
      <w:r w:rsidR="00FD5CD1" w:rsidRPr="00443D3C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 </w:t>
      </w:r>
      <w:r w:rsidR="00AA623B" w:rsidRPr="00443D3C">
        <w:rPr>
          <w:rFonts w:ascii="Times New Roman" w:hAnsi="Times New Roman"/>
          <w:sz w:val="28"/>
          <w:szCs w:val="28"/>
        </w:rPr>
        <w:t>муниципального района</w:t>
      </w:r>
      <w:r w:rsidR="00AA623B"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определяется следующим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743E4BAF" wp14:editId="14EA6214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</w:t>
      </w:r>
      <w:r w:rsidR="00745461" w:rsidRPr="00443D3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 xml:space="preserve"> ра</w:t>
      </w:r>
      <w:r w:rsidR="00745461" w:rsidRPr="00443D3C">
        <w:rPr>
          <w:rFonts w:ascii="Times New Roman" w:hAnsi="Times New Roman"/>
          <w:sz w:val="28"/>
          <w:szCs w:val="28"/>
        </w:rPr>
        <w:t>й</w:t>
      </w:r>
      <w:r w:rsidR="00745461"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)/</w:t>
      </w:r>
    </w:p>
    <w:p w:rsidR="00FD5CD1" w:rsidRDefault="00FD5CD1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 w:rsidR="00AA623B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C14326" wp14:editId="5739F73F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 w:rsidR="00FD5CD1">
        <w:rPr>
          <w:rFonts w:ascii="Times New Roman" w:hAnsi="Times New Roman"/>
          <w:sz w:val="28"/>
          <w:szCs w:val="28"/>
        </w:rPr>
        <w:t xml:space="preserve"> </w:t>
      </w:r>
      <w:r w:rsidR="00173CA6"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Pr="00745461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 w:rsidR="00FD5CD1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</w:t>
      </w:r>
      <w:r w:rsidR="00FD5CD1">
        <w:rPr>
          <w:rFonts w:ascii="Times New Roman" w:hAnsi="Times New Roman"/>
          <w:sz w:val="28"/>
          <w:szCs w:val="28"/>
        </w:rPr>
        <w:t>и</w:t>
      </w:r>
      <w:r w:rsidR="00FD5CD1"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 w:rsidR="00FD5CD1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 w:rsidR="00FD5CD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D5CD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FD5CD1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="00745461"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745461" w:rsidRPr="00770978">
        <w:rPr>
          <w:rFonts w:ascii="Times New Roman" w:hAnsi="Times New Roman"/>
          <w:sz w:val="28"/>
          <w:szCs w:val="28"/>
        </w:rPr>
        <w:t xml:space="preserve"> </w:t>
      </w:r>
      <w:r w:rsidR="00745461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45461">
        <w:rPr>
          <w:rFonts w:ascii="Times New Roman" w:hAnsi="Times New Roman"/>
          <w:sz w:val="28"/>
          <w:szCs w:val="28"/>
        </w:rPr>
        <w:t>Кле</w:t>
      </w:r>
      <w:r w:rsidR="00745461">
        <w:rPr>
          <w:rFonts w:ascii="Times New Roman" w:hAnsi="Times New Roman"/>
          <w:sz w:val="28"/>
          <w:szCs w:val="28"/>
        </w:rPr>
        <w:t>т</w:t>
      </w:r>
      <w:r w:rsidR="00745461">
        <w:rPr>
          <w:rFonts w:ascii="Times New Roman" w:hAnsi="Times New Roman"/>
          <w:sz w:val="28"/>
          <w:szCs w:val="28"/>
        </w:rPr>
        <w:t>нянского</w:t>
      </w:r>
      <w:proofErr w:type="spellEnd"/>
      <w:r w:rsidR="00745461">
        <w:rPr>
          <w:rFonts w:ascii="Times New Roman" w:hAnsi="Times New Roman"/>
          <w:sz w:val="28"/>
          <w:szCs w:val="28"/>
        </w:rPr>
        <w:t xml:space="preserve"> района в сети </w:t>
      </w:r>
      <w:r w:rsidR="00745461"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="00745461"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="00745461"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="00745461" w:rsidRPr="00443D3C">
        <w:rPr>
          <w:rFonts w:ascii="Times New Roman" w:hAnsi="Times New Roman"/>
          <w:sz w:val="28"/>
          <w:szCs w:val="28"/>
        </w:rPr>
        <w:t>).</w:t>
      </w:r>
    </w:p>
    <w:p w:rsidR="008657C2" w:rsidRPr="00770978" w:rsidRDefault="008657C2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0F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A8D" w:rsidRPr="00770978" w:rsidRDefault="000F2A8D" w:rsidP="0017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2A8D" w:rsidRPr="00770978" w:rsidSect="0035053B">
      <w:headerReference w:type="default" r:id="rId17"/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5B" w:rsidRDefault="002D3C5B">
      <w:pPr>
        <w:spacing w:after="0" w:line="240" w:lineRule="auto"/>
      </w:pPr>
      <w:r>
        <w:separator/>
      </w:r>
    </w:p>
  </w:endnote>
  <w:endnote w:type="continuationSeparator" w:id="0">
    <w:p w:rsidR="002D3C5B" w:rsidRDefault="002D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5B" w:rsidRDefault="002D3C5B">
      <w:pPr>
        <w:spacing w:after="0" w:line="240" w:lineRule="auto"/>
      </w:pPr>
      <w:r>
        <w:separator/>
      </w:r>
    </w:p>
  </w:footnote>
  <w:footnote w:type="continuationSeparator" w:id="0">
    <w:p w:rsidR="002D3C5B" w:rsidRDefault="002D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38" w:rsidRDefault="00AB5B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47E6"/>
    <w:rsid w:val="00081EF2"/>
    <w:rsid w:val="000A7486"/>
    <w:rsid w:val="000B6EA0"/>
    <w:rsid w:val="000B6FDB"/>
    <w:rsid w:val="000E5B9B"/>
    <w:rsid w:val="000F2A8D"/>
    <w:rsid w:val="00107109"/>
    <w:rsid w:val="00111272"/>
    <w:rsid w:val="00117E1B"/>
    <w:rsid w:val="00161145"/>
    <w:rsid w:val="00173CA6"/>
    <w:rsid w:val="00174238"/>
    <w:rsid w:val="00177549"/>
    <w:rsid w:val="001937FD"/>
    <w:rsid w:val="001C3545"/>
    <w:rsid w:val="001D0D15"/>
    <w:rsid w:val="001E395A"/>
    <w:rsid w:val="001F03FD"/>
    <w:rsid w:val="001F4FE0"/>
    <w:rsid w:val="00200F4A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D2790"/>
    <w:rsid w:val="002D3C5B"/>
    <w:rsid w:val="002D50FA"/>
    <w:rsid w:val="002E4D6D"/>
    <w:rsid w:val="00312332"/>
    <w:rsid w:val="00320B5B"/>
    <w:rsid w:val="00337036"/>
    <w:rsid w:val="0035053B"/>
    <w:rsid w:val="0035437C"/>
    <w:rsid w:val="0037291F"/>
    <w:rsid w:val="003840B9"/>
    <w:rsid w:val="00385607"/>
    <w:rsid w:val="0038663E"/>
    <w:rsid w:val="00392FD8"/>
    <w:rsid w:val="0039419E"/>
    <w:rsid w:val="00394393"/>
    <w:rsid w:val="003B1000"/>
    <w:rsid w:val="003B24A5"/>
    <w:rsid w:val="003B5BD0"/>
    <w:rsid w:val="003D1783"/>
    <w:rsid w:val="003D5E95"/>
    <w:rsid w:val="003D7359"/>
    <w:rsid w:val="003F10AD"/>
    <w:rsid w:val="00401090"/>
    <w:rsid w:val="004259F9"/>
    <w:rsid w:val="00433434"/>
    <w:rsid w:val="00440135"/>
    <w:rsid w:val="004435EF"/>
    <w:rsid w:val="00443D3C"/>
    <w:rsid w:val="004515FA"/>
    <w:rsid w:val="0046285F"/>
    <w:rsid w:val="00470367"/>
    <w:rsid w:val="00470EFC"/>
    <w:rsid w:val="004710DE"/>
    <w:rsid w:val="004B17C5"/>
    <w:rsid w:val="004B322B"/>
    <w:rsid w:val="004B73D9"/>
    <w:rsid w:val="004F30F1"/>
    <w:rsid w:val="004F5742"/>
    <w:rsid w:val="00505CED"/>
    <w:rsid w:val="00510744"/>
    <w:rsid w:val="005364CD"/>
    <w:rsid w:val="00541EEB"/>
    <w:rsid w:val="00545BAD"/>
    <w:rsid w:val="00560A2C"/>
    <w:rsid w:val="0056214F"/>
    <w:rsid w:val="00566446"/>
    <w:rsid w:val="005814AA"/>
    <w:rsid w:val="00590CE9"/>
    <w:rsid w:val="0059495F"/>
    <w:rsid w:val="005977CA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F91"/>
    <w:rsid w:val="0061690A"/>
    <w:rsid w:val="006245A1"/>
    <w:rsid w:val="0063117D"/>
    <w:rsid w:val="006434D8"/>
    <w:rsid w:val="00643F48"/>
    <w:rsid w:val="006735E4"/>
    <w:rsid w:val="006B1AA5"/>
    <w:rsid w:val="006C0456"/>
    <w:rsid w:val="006C7489"/>
    <w:rsid w:val="006D1B83"/>
    <w:rsid w:val="006D563F"/>
    <w:rsid w:val="006E0F6B"/>
    <w:rsid w:val="006E55CC"/>
    <w:rsid w:val="006F4805"/>
    <w:rsid w:val="00714A57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610A"/>
    <w:rsid w:val="007C419B"/>
    <w:rsid w:val="007C6E04"/>
    <w:rsid w:val="00810DDE"/>
    <w:rsid w:val="00813D39"/>
    <w:rsid w:val="00816A7F"/>
    <w:rsid w:val="0084200D"/>
    <w:rsid w:val="008579F4"/>
    <w:rsid w:val="008657C2"/>
    <w:rsid w:val="0086752D"/>
    <w:rsid w:val="00871425"/>
    <w:rsid w:val="00880949"/>
    <w:rsid w:val="00890852"/>
    <w:rsid w:val="008A21B6"/>
    <w:rsid w:val="008B289A"/>
    <w:rsid w:val="008C1272"/>
    <w:rsid w:val="00902590"/>
    <w:rsid w:val="009154D8"/>
    <w:rsid w:val="00941F38"/>
    <w:rsid w:val="0095007D"/>
    <w:rsid w:val="009539B1"/>
    <w:rsid w:val="00964497"/>
    <w:rsid w:val="00974954"/>
    <w:rsid w:val="00995E5C"/>
    <w:rsid w:val="009A531F"/>
    <w:rsid w:val="009A6D93"/>
    <w:rsid w:val="009B3A5F"/>
    <w:rsid w:val="009F0D4F"/>
    <w:rsid w:val="00A106CD"/>
    <w:rsid w:val="00A14DFF"/>
    <w:rsid w:val="00A228CD"/>
    <w:rsid w:val="00A72C70"/>
    <w:rsid w:val="00A9116E"/>
    <w:rsid w:val="00A938B4"/>
    <w:rsid w:val="00AA623B"/>
    <w:rsid w:val="00AB06DC"/>
    <w:rsid w:val="00AB5B38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600A"/>
    <w:rsid w:val="00B75D33"/>
    <w:rsid w:val="00BA7776"/>
    <w:rsid w:val="00BE2E30"/>
    <w:rsid w:val="00BF19A0"/>
    <w:rsid w:val="00BF1C85"/>
    <w:rsid w:val="00BF2A7D"/>
    <w:rsid w:val="00C12131"/>
    <w:rsid w:val="00C136C2"/>
    <w:rsid w:val="00C21B45"/>
    <w:rsid w:val="00C25756"/>
    <w:rsid w:val="00C5094A"/>
    <w:rsid w:val="00C57E96"/>
    <w:rsid w:val="00C66053"/>
    <w:rsid w:val="00C80398"/>
    <w:rsid w:val="00C80819"/>
    <w:rsid w:val="00C81660"/>
    <w:rsid w:val="00C9004B"/>
    <w:rsid w:val="00C94EA5"/>
    <w:rsid w:val="00C9649A"/>
    <w:rsid w:val="00CA4C9A"/>
    <w:rsid w:val="00CB262E"/>
    <w:rsid w:val="00CF2DE7"/>
    <w:rsid w:val="00D11C9B"/>
    <w:rsid w:val="00D72A32"/>
    <w:rsid w:val="00D73CF7"/>
    <w:rsid w:val="00D80762"/>
    <w:rsid w:val="00D93D3C"/>
    <w:rsid w:val="00D95C5C"/>
    <w:rsid w:val="00DB5A6A"/>
    <w:rsid w:val="00DE4A38"/>
    <w:rsid w:val="00DF7947"/>
    <w:rsid w:val="00E1099F"/>
    <w:rsid w:val="00E32F8B"/>
    <w:rsid w:val="00E43EF3"/>
    <w:rsid w:val="00E45AED"/>
    <w:rsid w:val="00E5249C"/>
    <w:rsid w:val="00E56A12"/>
    <w:rsid w:val="00E619C0"/>
    <w:rsid w:val="00E625A8"/>
    <w:rsid w:val="00E8059E"/>
    <w:rsid w:val="00E939C8"/>
    <w:rsid w:val="00EA5F1F"/>
    <w:rsid w:val="00EB2D04"/>
    <w:rsid w:val="00EB38F9"/>
    <w:rsid w:val="00EC335F"/>
    <w:rsid w:val="00F03077"/>
    <w:rsid w:val="00F10B04"/>
    <w:rsid w:val="00F115D5"/>
    <w:rsid w:val="00F44FA0"/>
    <w:rsid w:val="00F45D8B"/>
    <w:rsid w:val="00F53AC9"/>
    <w:rsid w:val="00F54295"/>
    <w:rsid w:val="00F61F4A"/>
    <w:rsid w:val="00F62816"/>
    <w:rsid w:val="00F74AAB"/>
    <w:rsid w:val="00F8543D"/>
    <w:rsid w:val="00F92F3D"/>
    <w:rsid w:val="00F951E3"/>
    <w:rsid w:val="00FB6545"/>
    <w:rsid w:val="00FB6BFE"/>
    <w:rsid w:val="00FC210A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0410EA8631497E119652FF9F18045BE09D21D1A9E4AAL7CA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46D6-7A61-4D9D-AD4F-9E6F09C1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5</cp:revision>
  <cp:lastPrinted>2016-03-17T14:24:00Z</cp:lastPrinted>
  <dcterms:created xsi:type="dcterms:W3CDTF">2016-03-17T14:16:00Z</dcterms:created>
  <dcterms:modified xsi:type="dcterms:W3CDTF">2016-03-17T14:24:00Z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